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97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914400</wp:posOffset>
            </wp:positionH>
            <wp:positionV relativeFrom="page">
              <wp:posOffset>339725</wp:posOffset>
            </wp:positionV>
            <wp:extent cx="2581275" cy="386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86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right"/>
        <w:ind w:left="5960" w:right="38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GraniteShares 3x Short Tesla Daily ETP Key Information Document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7620</wp:posOffset>
            </wp:positionH>
            <wp:positionV relativeFrom="paragraph">
              <wp:posOffset>122555</wp:posOffset>
            </wp:positionV>
            <wp:extent cx="5995035" cy="228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Przeznaczenie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 w:right="420"/>
        <w:spacing w:after="0" w:line="29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Zamierzasz kupić produkt, który nie jest prosty i może być trudny do zrozumienia.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Produkt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GranitShares 3x Short Tesla Daily ETP</w:t>
      </w:r>
    </w:p>
    <w:p>
      <w:pPr>
        <w:spacing w:after="0" w:line="14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Producent PRIIP: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GraniteShares Financial Plc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Numer telefonu: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+44 (0)20 3950 1442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NUMER ISIN: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XS2193972671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Strona internetowa: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https://www.graniteshares.com/ETPs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tabs>
          <w:tab w:leader="none" w:pos="47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Organ regulacyjny: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Central Bank of Ireland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Data publikacji: 9 stycznia 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7620</wp:posOffset>
            </wp:positionH>
            <wp:positionV relativeFrom="paragraph">
              <wp:posOffset>58420</wp:posOffset>
            </wp:positionV>
            <wp:extent cx="6241415" cy="2286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Co to za produkt?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9"/>
        </w:trPr>
        <w:tc>
          <w:tcPr>
            <w:tcW w:w="1160" w:type="dxa"/>
            <w:vAlign w:val="bottom"/>
            <w:tcBorders>
              <w:top w:val="single" w:sz="8" w:color="7F7F7F"/>
              <w:left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Typ</w:t>
            </w:r>
          </w:p>
        </w:tc>
        <w:tc>
          <w:tcPr>
            <w:tcW w:w="8720" w:type="dxa"/>
            <w:vAlign w:val="bottom"/>
            <w:tcBorders>
              <w:top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Zabezpieczony produkt giełdowy ("ETP") Papiery wartościowe</w:t>
            </w:r>
          </w:p>
        </w:tc>
      </w:tr>
      <w:tr>
        <w:trPr>
          <w:trHeight w:val="61"/>
        </w:trPr>
        <w:tc>
          <w:tcPr>
            <w:tcW w:w="1160" w:type="dxa"/>
            <w:vAlign w:val="bottom"/>
            <w:tcBorders>
              <w:left w:val="single" w:sz="8" w:color="7F7F7F"/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196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GraniteShares 3x Short Tesla Daily ETP został zaprojektowany, aby umożliwić inwestorom uzyskanie -3-krotnego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Cele</w:t>
            </w: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inwestycja typu total return w Tesla ("akcje bazowe").</w:t>
            </w:r>
          </w:p>
        </w:tc>
      </w:tr>
      <w:tr>
        <w:trPr>
          <w:trHeight w:val="325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Na przykład, jeżeli wartość akcji bazowych miała wzrosnąć o 5% w danym dniu, produkt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o 15% w danym dniu (pomniejszone o opłaty i korekty) oraz w przypadku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Zapasy miały spaść o 5% w danym dniu, produkt ma za zadanie wzrost wartości o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15% tego dnia (pomniejszone o opłaty i korekty).</w:t>
            </w:r>
          </w:p>
        </w:tc>
      </w:tr>
      <w:tr>
        <w:trPr>
          <w:trHeight w:val="325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 okresach dłuższych niż jeden dzień zwrot produktu nie jest taki sam jak zwrot</w:t>
            </w:r>
          </w:p>
        </w:tc>
      </w:tr>
      <w:tr>
        <w:trPr>
          <w:trHeight w:val="218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Kapitał bazowy pomnożony przez -3 ("współczynnik dźwigni").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 Dzieje się tak, ponieważ współczynnik dźwigni został zresetowany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codziennie (tj. wskaźnik dźwigni stosuje się do wyników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codziennie).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 Codzienny reset ma "efekt składany", co oznacza, że im bardziej zmienny</w:t>
            </w:r>
          </w:p>
        </w:tc>
      </w:tr>
      <w:tr>
        <w:trPr>
          <w:trHeight w:val="218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 przypadku akcji bazowej, tym bardziej wydajność produktu będzie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wyniki dotyczące akcji bazowych (pomnożone przez współczynnik dźwigni) w danym okresie.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To odchylenie może być dodatnie lub ujemne.</w:t>
            </w:r>
          </w:p>
        </w:tc>
      </w:tr>
      <w:tr>
        <w:trPr>
          <w:trHeight w:val="325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Produkt jest produktem giełdowym (ETP).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 Możesz handlować tym produktem na różnych giełdach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Wymiany według własnego uznania.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 Możesz stracić pełną wartość swojej początkowej inwestycji, ale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nie stracić więcej niż Twoja początkowa inwestycja.</w:t>
            </w:r>
          </w:p>
        </w:tc>
      </w:tr>
      <w:tr>
        <w:trPr>
          <w:trHeight w:val="325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Produkt jest wspierany przez zamianę z Natixis ("Dostawca zamiany").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 Zobowiązania płatnicze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Dostawca swapów na GraniteShares Financial Plc jest chroniony zabezpieczeniem na wydzielonym rachunku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u niezależnego depozytariusza The Bank of New York Mellon SA/NV.</w:t>
            </w:r>
          </w:p>
        </w:tc>
      </w:tr>
      <w:tr>
        <w:trPr>
          <w:trHeight w:val="121"/>
        </w:trPr>
        <w:tc>
          <w:tcPr>
            <w:tcW w:w="1160" w:type="dxa"/>
            <w:vAlign w:val="bottom"/>
            <w:tcBorders>
              <w:left w:val="single" w:sz="8" w:color="7F7F7F"/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196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20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Zamierzone</w:t>
            </w: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Niniejszy produkt jest przeznaczony dla inwestorów indywidualnych, którzy: (i) posiadają szczególną wiedzę lub doświadczenie w zakresie</w:t>
            </w:r>
          </w:p>
        </w:tc>
      </w:tr>
      <w:tr>
        <w:trPr>
          <w:trHeight w:val="218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sprzedaż detaliczna</w:t>
            </w: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inwestowanie w podobne produkty i na rynkach finansowych, a także umiejętność rozumienia produktu</w:t>
            </w:r>
          </w:p>
        </w:tc>
      </w:tr>
      <w:tr>
        <w:trPr>
          <w:trHeight w:val="221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inwestor</w:t>
            </w: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oraz związane z tym ryzyko i korzyści; (ii) mogą ponieść utratę kapitału, nie dążą do zachowania kapitału i</w:t>
            </w:r>
          </w:p>
        </w:tc>
      </w:tr>
      <w:tr>
        <w:trPr>
          <w:trHeight w:val="218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(iii) posiadają horyzont inwestycyjny zgodny z rekomendowanymi</w:t>
            </w:r>
          </w:p>
        </w:tc>
      </w:tr>
      <w:tr>
        <w:trPr>
          <w:trHeight w:val="234"/>
        </w:trPr>
        <w:tc>
          <w:tcPr>
            <w:tcW w:w="1160" w:type="dxa"/>
            <w:vAlign w:val="bottom"/>
            <w:tcBorders>
              <w:left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okres utrzymywania</w:t>
            </w:r>
          </w:p>
        </w:tc>
      </w:tr>
      <w:tr>
        <w:trPr>
          <w:trHeight w:val="162"/>
        </w:trPr>
        <w:tc>
          <w:tcPr>
            <w:tcW w:w="1160" w:type="dxa"/>
            <w:vAlign w:val="bottom"/>
            <w:tcBorders>
              <w:left w:val="single" w:sz="8" w:color="7F7F7F"/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72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6243320</wp:posOffset>
                </wp:positionH>
                <wp:positionV relativeFrom="paragraph">
                  <wp:posOffset>-8890</wp:posOffset>
                </wp:positionV>
                <wp:extent cx="12065" cy="12065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9" style="position:absolute;margin-left:491.6pt;margin-top:-0.6999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7F7F7F" stroked="f"/>
            </w:pict>
          </mc:Fallback>
        </mc:AlternateContent>
      </w:r>
    </w:p>
    <w:p>
      <w:pPr>
        <w:spacing w:after="0" w:line="10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Okres obowiązywania PRIIP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 w:right="20"/>
        <w:spacing w:after="0" w:line="3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Ten produkt nie ma ustalonego terminu.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Termin zależy od tego, jak długo zdecydujesz się posiadać produkt, jednak planowany termin zapadalności to 01 lipca 2070 r.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GraniteShares Financial Plc jest uprawniony do jednostronnego wypowiedzenia tego produktu.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7620</wp:posOffset>
            </wp:positionH>
            <wp:positionV relativeFrom="paragraph">
              <wp:posOffset>193675</wp:posOffset>
            </wp:positionV>
            <wp:extent cx="6241415" cy="2286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3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1125220</wp:posOffset>
            </wp:positionH>
            <wp:positionV relativeFrom="paragraph">
              <wp:posOffset>236220</wp:posOffset>
            </wp:positionV>
            <wp:extent cx="3847465" cy="3016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30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6037" w:orient="portrait"/>
          <w:cols w:equalWidth="0" w:num="1">
            <w:col w:w="9840"/>
          </w:cols>
          <w:pgMar w:left="1320" w:top="559" w:right="1080" w:bottom="0" w:gutter="0" w:footer="0" w:header="0"/>
        </w:sectPr>
      </w:pPr>
    </w:p>
    <w:p>
      <w:pPr>
        <w:spacing w:after="0" w:line="372" w:lineRule="exact"/>
        <w:rPr>
          <w:sz w:val="24"/>
          <w:szCs w:val="24"/>
          <w:color w:val="auto"/>
        </w:rPr>
      </w:pPr>
    </w:p>
    <w:tbl>
      <w:tblPr>
        <w:tblLayout w:type="fixed"/>
        <w:tblInd w:w="21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7"/>
        </w:trPr>
        <w:tc>
          <w:tcPr>
            <w:tcW w:w="50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79"/>
              </w:rPr>
              <w:t xml:space="preserve">1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2</w:t>
            </w:r>
          </w:p>
        </w:tc>
      </w:tr>
      <w:tr>
        <w:trPr>
          <w:trHeight w:val="128"/>
        </w:trPr>
        <w:tc>
          <w:tcPr>
            <w:tcW w:w="500" w:type="dxa"/>
            <w:vAlign w:val="bottom"/>
            <w:tcBorders>
              <w:right w:val="single" w:sz="8" w:color="7F7F7F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</w:tbl>
    <w:p>
      <w:pPr>
        <w:spacing w:after="0" w:line="24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9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 Light" w:cs="Calibri Light" w:eastAsia="Calibri Light" w:hAnsi="Calibri Light"/>
          <w:sz w:val="18"/>
          <w:szCs w:val="18"/>
          <w:color w:val="auto"/>
        </w:rPr>
        <w:t xml:space="preserve">Niższe ryzyko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center"/>
        <w:ind w:righ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3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center"/>
        <w:ind w:righ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4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-1899920</wp:posOffset>
            </wp:positionH>
            <wp:positionV relativeFrom="paragraph">
              <wp:posOffset>388620</wp:posOffset>
            </wp:positionV>
            <wp:extent cx="3863975" cy="825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75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center"/>
        <w:ind w:righ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5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7"/>
        </w:trPr>
        <w:tc>
          <w:tcPr>
            <w:tcW w:w="50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jc w:val="right"/>
              <w:ind w:right="3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79"/>
              </w:rPr>
              <w:t xml:space="preserve">6</w:t>
            </w:r>
          </w:p>
        </w:tc>
        <w:tc>
          <w:tcPr>
            <w:tcW w:w="860" w:type="dxa"/>
            <w:vAlign w:val="bottom"/>
            <w:shd w:val="clear" w:color="auto" w:fill="8EAADB"/>
          </w:tcPr>
          <w:p>
            <w:pPr xmlns:w="http://schemas.openxmlformats.org/wordprocessingml/2006/main"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7</w:t>
            </w:r>
          </w:p>
        </w:tc>
      </w:tr>
      <w:tr>
        <w:trPr>
          <w:trHeight w:val="128"/>
        </w:trPr>
        <w:tc>
          <w:tcPr>
            <w:tcW w:w="500" w:type="dxa"/>
            <w:vAlign w:val="bottom"/>
            <w:tcBorders>
              <w:right w:val="single" w:sz="8" w:color="7F7F7F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60" w:type="dxa"/>
            <w:vAlign w:val="bottom"/>
            <w:shd w:val="clear" w:color="auto" w:fill="8EAADB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</w:tr>
    </w:tbl>
    <w:p>
      <w:pPr>
        <w:spacing w:after="0" w:line="2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 Light" w:cs="Calibri Light" w:eastAsia="Calibri Light" w:hAnsi="Calibri Light"/>
          <w:sz w:val="18"/>
          <w:szCs w:val="18"/>
          <w:color w:val="auto"/>
        </w:rPr>
        <w:t xml:space="preserve">Wyższe ryzyko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2240" w:h="16037" w:orient="portrait"/>
          <w:cols w:equalWidth="0" w:num="5">
            <w:col w:w="3160" w:space="720"/>
            <w:col w:w="140" w:space="720"/>
            <w:col w:w="160" w:space="720"/>
            <w:col w:w="140" w:space="720"/>
            <w:col w:w="3360"/>
          </w:cols>
          <w:pgMar w:left="1320" w:top="559" w:right="1080" w:bottom="0" w:gutter="0" w:footer="0" w:header="0"/>
          <w:type w:val="continuous"/>
        </w:sectPr>
      </w:pPr>
    </w:p>
    <w:p>
      <w:pPr>
        <w:spacing w:after="0" w:line="333" w:lineRule="exact"/>
        <w:rPr>
          <w:sz w:val="24"/>
          <w:szCs w:val="24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596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39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  <w:vertAlign w:val="superscript"/>
              </w:rPr>
              <w:t xml:space="preserve">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piętro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+44 (0) 20 3950 1442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18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167-169 Great Portland St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rFonts w:ascii="Arial" w:cs="Arial" w:eastAsia="Arial" w:hAnsi="Arial"/>
                <w:sz w:val="16"/>
                <w:szCs w:val="16"/>
                <w:color w:val="auto"/>
              </w:rPr>
            </w:pPr>
            <w:hyperlink r:id="rId18">
              <w:r>
                <w:rPr xmlns:w="http://schemas.openxmlformats.org/wordprocessingml/2006/main">
                  <w:rFonts w:ascii="Arial" w:cs="Arial" w:eastAsia="Arial" w:hAnsi="Arial"/>
                  <w:sz w:val="16"/>
                  <w:szCs w:val="16"/>
                  <w:color w:val="auto"/>
                </w:rPr>
                <w:t xml:space="preserve">europe@graniteshares.com</w:t>
              </w:r>
            </w:hyperlink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41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Londyn W1W 5PF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graniteshares.com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49"/>
        </w:trPr>
        <w:tc>
          <w:tcPr>
            <w:tcW w:w="5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5361305</wp:posOffset>
            </wp:positionH>
            <wp:positionV relativeFrom="paragraph">
              <wp:posOffset>-524510</wp:posOffset>
            </wp:positionV>
            <wp:extent cx="814705" cy="4997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6037" w:orient="portrait"/>
          <w:cols w:equalWidth="0" w:num="1">
            <w:col w:w="9840"/>
          </w:cols>
          <w:pgMar w:left="1320" w:top="559" w:right="108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19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914400</wp:posOffset>
            </wp:positionH>
            <wp:positionV relativeFrom="page">
              <wp:posOffset>339725</wp:posOffset>
            </wp:positionV>
            <wp:extent cx="2581275" cy="386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86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right"/>
        <w:ind w:left="5840" w:right="1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GraniteShares 3x Short Tesla Daily ETP Key Information Document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680" w:right="340"/>
        <w:spacing w:after="0" w:line="30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ryzyka zakłada, że produkt jest przechowywany przez 1 dzień.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Rzeczywiste ryzyko może się znacznie różnić, jeśli przechowujesz produkt przez dłuższy czas i możesz odzyskać mniej.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Możesz nie być w stanie łatwo sprzedać swojego produktu lub być może będziesz musiał sprzedawać po cenie, która ma znaczący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-239395</wp:posOffset>
            </wp:positionV>
            <wp:extent cx="271780" cy="24130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" cy="24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30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Pokazuje, jak prawdopodobne jest, że produkt straci pieniądze z powodu zmian na rynkach lub dlatego, że nie jesteśmy w stanie zapłacić.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Zaklasyfikowaliśmy ten produkt jako 7 z 7, co jest najwyższą klasą ryzyka.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9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W ten sposób ocenia się potencjalne straty wynikające z przyszłych wyników na bardzo wysokim poziomie, a złe warunki rynkowe najprawdopodobniej będą miały wpływ na wyniki.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Ten produkt nie obejmuje żadnej ochrony przed przyszłymi wynikami rynkowymi, więc możesz stracić część lub całość inwestycji.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Jeśli nie będziemy w stanie spłacić Ci należnej kwoty, możesz stracić całą swoją inwestycję.</w:t>
      </w:r>
    </w:p>
    <w:p>
      <w:pPr>
        <w:spacing w:after="0" w:line="8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8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Jeśli otrzymasz płatności w walucie innej niż waluta kraju, w którym mieszkasz, ostateczny zwrot będzie zależał od kursu wymiany między tymi dwiema walutami.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Ryzyko to nie jest</w:t>
      </w:r>
    </w:p>
    <w:p>
      <w:pPr>
        <w:sectPr>
          <w:pgSz w:w="12240" w:h="16037" w:orient="portrait"/>
          <w:cols w:equalWidth="0" w:num="1">
            <w:col w:w="9480"/>
          </w:cols>
          <w:pgMar w:left="1440" w:top="559" w:right="1320" w:bottom="0" w:gutter="0" w:footer="0" w:header="0"/>
        </w:sectPr>
      </w:pP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"/>
        <w:spacing w:after="0" w:line="37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uwzględnione we wskaźniku przedstawionym powyżej.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Scenariusze wydajności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6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Podane liczby obejmują wszystkie koszty samego produktu, ale mogą nie obejmować wszystkich kosztów, które płacisz swojemu doradcy, dystrybutorowi lub brokerowi.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Liczby te nie uwzględniają Twojej osobistej sytuacji podatkowej, która może mieć wpływ na to, ile odzyskasz.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Ta tabela pokazuje pieniądze, które możesz odzyskać w zalecanym okresie przechowywania, w różnych scenariuszach, zakładając, że zainwestujesz 10 000 $.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Pokazane scenariusze ilustrują, w jaki sposób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Inwestycje 10 000 $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-148590</wp:posOffset>
            </wp:positionV>
            <wp:extent cx="3697605" cy="175133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175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8"/>
        </w:trPr>
        <w:tc>
          <w:tcPr>
            <w:tcW w:w="1360" w:type="dxa"/>
            <w:vAlign w:val="bottom"/>
            <w:tcBorders>
              <w:top w:val="single" w:sz="8" w:color="7F7F7F"/>
              <w:right w:val="single" w:sz="8" w:color="7F7F7F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Scenariusz</w:t>
            </w:r>
          </w:p>
        </w:tc>
        <w:tc>
          <w:tcPr>
            <w:tcW w:w="3060" w:type="dxa"/>
            <w:vAlign w:val="bottom"/>
            <w:tcBorders>
              <w:top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Jeden (1) dzień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1360" w:type="dxa"/>
            <w:vAlign w:val="bottom"/>
            <w:tcBorders>
              <w:right w:val="single" w:sz="8" w:color="7F7F7F"/>
            </w:tcBorders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right w:val="single" w:sz="8" w:color="7F7F7F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(Zalecane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(okres utrzymywania)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136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Naprężenie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Co możesz odzyskać po kosztach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3195,66 $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Scenariusz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(%)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- 68,03%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8"/>
        </w:trPr>
        <w:tc>
          <w:tcPr>
            <w:tcW w:w="136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Niekorzystny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Co możesz odzyskać po kosztach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8502,11 $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Scenariusz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(%)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- 14,96%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Umiarkowane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Co możesz odzyskać po kosztach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101007010 $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Scenariusz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(%)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0,72%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1360" w:type="dxa"/>
            <w:vAlign w:val="bottom"/>
            <w:tcBorders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Korzystne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Co możesz odzyskać po kosztach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151076992 $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3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Scenariusz</w:t>
            </w:r>
          </w:p>
        </w:tc>
        <w:tc>
          <w:tcPr>
            <w:tcW w:w="3060" w:type="dxa"/>
            <w:vAlign w:val="bottom"/>
            <w:tcBorders>
              <w:bottom w:val="single" w:sz="8" w:color="7F7F7F"/>
              <w:right w:val="single" w:sz="8" w:color="7F7F7F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(%)</w:t>
            </w:r>
          </w:p>
        </w:tc>
        <w:tc>
          <w:tcPr>
            <w:tcW w:w="1420" w:type="dxa"/>
            <w:vAlign w:val="bottom"/>
            <w:tcBorders>
              <w:bottom w:val="single" w:sz="8" w:color="7F7F7F"/>
            </w:tcBorders>
          </w:tcPr>
          <w:p>
            <w:pPr xmlns:w="http://schemas.openxmlformats.org/wordprocessingml/2006/main">
              <w:jc w:val="right"/>
              <w:ind w:right="3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7,72%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67" w:lineRule="exact"/>
        <w:rPr>
          <w:sz w:val="20"/>
          <w:szCs w:val="20"/>
          <w:color w:val="auto"/>
        </w:rPr>
      </w:pPr>
    </w:p>
    <w:p>
      <w:pPr>
        <w:sectPr>
          <w:pgSz w:w="12240" w:h="16037" w:orient="portrait"/>
          <w:cols w:equalWidth="0" w:num="2">
            <w:col w:w="3480" w:space="180"/>
            <w:col w:w="5820"/>
          </w:cols>
          <w:pgMar w:left="1440" w:top="559" w:right="1320" w:bottom="0" w:gutter="0" w:footer="0" w:header="0"/>
          <w:type w:val="continuous"/>
        </w:sectPr>
      </w:pPr>
    </w:p>
    <w:p>
      <w:pPr xmlns:w="http://schemas.openxmlformats.org/wordprocessingml/2006/main">
        <w:jc w:val="both"/>
        <w:ind w:right="120"/>
        <w:spacing w:after="0" w:line="26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Inwestycja mogłaby przynieść rezultaty.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Można je porównać ze scenariuszami innych produktów.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Przedstawione scenariusze są szacunkiem przyszłych wyników, opartym na dowodach z przeszłości, pokazujących, jak zmienia się wartość tej inwestycji, a nie są dokładnym wskaźnikiem.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To, co dostaniesz, będzie się różnić w zależności od tego, jak funkcjonuje rynek i jak długo utrzymasz inwestycję.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Scenariusz warunków skrajnych pokazuje, co możesz odzyskać w ekstremalnych warunkach rynkowych i nie uwzględnia sytuacji, w której nie jesteśmy w stanie Ci zapłacić.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-67945</wp:posOffset>
            </wp:positionH>
            <wp:positionV relativeFrom="paragraph">
              <wp:posOffset>206375</wp:posOffset>
            </wp:positionV>
            <wp:extent cx="6012815" cy="2286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81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Co się stanie, jeśli GraniteShares Financial Plc nie będzie w stanie wypłacić?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8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Produkt nie jest chroniony przez irlandzki system gwarancji depozytów ani żaden inny system rekompensat lub gwarancji dla inwestorów.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Oznacza to, że jeśli GraniteShares Financial Plc nie będzie w stanie wypłacić, możesz stracić całą swoją inwestycję.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Ponieważ zdolność GraniteShares Financial Plc do wypłaty zależy od otrzymania kwot należnych z tytułu produktu od dostawcy swapu, dostawca swapu codziennie dostarcza aktywa na wyodrębniony rachunek jako zabezpieczenie takich zobowiązań o wartości równej lub przekraczającej wartość dziennej ceny produktu.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Jeżeli dostawca swapów nie jest w stanie zapłacić GraniteShares Financial Plc, jego zdolność do wypłaty będzie ograniczona do kwot zrealizowanych z takich zabezpieczeń, jak wyjaśniono dalej w prospekcie emisyjnym.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-67945</wp:posOffset>
            </wp:positionH>
            <wp:positionV relativeFrom="paragraph">
              <wp:posOffset>58420</wp:posOffset>
            </wp:positionV>
            <wp:extent cx="6012815" cy="22860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81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Jakie są koszty?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Koszty w czasie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Redukcja rentowności (RIY) ilustruje wpływ całkowitych kosztów, które możesz zapłacić, na zwrot z inwestycji.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Całkowite koszty uwzględniają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2291080</wp:posOffset>
            </wp:positionH>
            <wp:positionV relativeFrom="paragraph">
              <wp:posOffset>-16510</wp:posOffset>
            </wp:positionV>
            <wp:extent cx="3725545" cy="5746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koszty dodatkowe, bieżące i dodatkowe.</w:t>
            </w:r>
          </w:p>
        </w:tc>
        <w:tc>
          <w:tcPr>
            <w:tcW w:w="2900" w:type="dxa"/>
            <w:vAlign w:val="bottom"/>
            <w:tcBorders>
              <w:bottom w:val="single" w:sz="8" w:color="auto"/>
            </w:tcBorders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Inwestycje 10 000 $</w:t>
            </w:r>
          </w:p>
        </w:tc>
        <w:tc>
          <w:tcPr>
            <w:tcW w:w="2980" w:type="dxa"/>
            <w:vAlign w:val="bottom"/>
            <w:tcBorders>
              <w:bottom w:val="single" w:sz="8" w:color="auto"/>
            </w:tcBorders>
            <w:gridSpan w:val="3"/>
          </w:tcPr>
          <w:p>
            <w:pPr xmlns:w="http://schemas.openxmlformats.org/wordprocessingml/2006/main"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Jeśli dokonasz wpłaty po jednym (1) dniu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3"/>
        </w:trPr>
        <w:tc>
          <w:tcPr>
            <w:tcW w:w="360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Kwoty przedstawione tutaj to</w:t>
            </w:r>
          </w:p>
        </w:tc>
        <w:tc>
          <w:tcPr>
            <w:tcW w:w="2900" w:type="dxa"/>
            <w:vAlign w:val="bottom"/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Koszty ogółem</w:t>
            </w:r>
          </w:p>
        </w:tc>
        <w:tc>
          <w:tcPr>
            <w:tcW w:w="296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1,70 $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3600" w:type="dxa"/>
            <w:vAlign w:val="bottom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skumulowane koszty samego produktu,</w:t>
            </w:r>
          </w:p>
        </w:tc>
        <w:tc>
          <w:tcPr>
            <w:tcW w:w="2900" w:type="dxa"/>
            <w:vAlign w:val="bottom"/>
            <w:gridSpan w:val="2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Wpływ na zwrot (RIY) rocznie</w:t>
            </w:r>
          </w:p>
        </w:tc>
        <w:tc>
          <w:tcPr>
            <w:tcW w:w="296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6,19%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360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w zalecanym okresie utrzymywania,</w:t>
            </w:r>
          </w:p>
        </w:tc>
        <w:tc>
          <w:tcPr>
            <w:tcW w:w="2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36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4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"/>
        </w:trPr>
        <w:tc>
          <w:tcPr>
            <w:tcW w:w="360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36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  <w:vertAlign w:val="superscript"/>
              </w:rPr>
              <w:t xml:space="preserve">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piętro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 xmlns:w="http://schemas.openxmlformats.org/wordprocessingml/2006/main"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+44 (0) 20 3950 1442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167-169 Great Portland St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54"/>
              <w:spacing w:after="0"/>
              <w:rPr>
                <w:rFonts w:ascii="Arial" w:cs="Arial" w:eastAsia="Arial" w:hAnsi="Arial"/>
                <w:sz w:val="16"/>
                <w:szCs w:val="16"/>
                <w:color w:val="auto"/>
              </w:rPr>
            </w:pPr>
            <w:hyperlink r:id="rId18">
              <w:r>
                <w:rPr xmlns:w="http://schemas.openxmlformats.org/wordprocessingml/2006/main">
                  <w:rFonts w:ascii="Arial" w:cs="Arial" w:eastAsia="Arial" w:hAnsi="Arial"/>
                  <w:sz w:val="16"/>
                  <w:szCs w:val="16"/>
                  <w:color w:val="auto"/>
                </w:rPr>
                <w:t xml:space="preserve">europe@graniteshares.com</w:t>
              </w:r>
            </w:hyperlink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360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Londyn W1W 5PF</w:t>
            </w: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 xmlns:w="http://schemas.openxmlformats.org/wordprocessingml/2006/main">
              <w:jc w:val="right"/>
              <w:ind w:right="54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graniteshares.com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36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5285105</wp:posOffset>
            </wp:positionH>
            <wp:positionV relativeFrom="paragraph">
              <wp:posOffset>-524510</wp:posOffset>
            </wp:positionV>
            <wp:extent cx="814705" cy="4997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6037" w:orient="portrait"/>
          <w:cols w:equalWidth="0" w:num="1">
            <w:col w:w="9480"/>
          </w:cols>
          <w:pgMar w:left="1440" w:top="559" w:right="1320" w:bottom="0" w:gutter="0" w:footer="0" w:header="0"/>
          <w:type w:val="continuous"/>
        </w:sectPr>
      </w:pPr>
    </w:p>
    <w:bookmarkStart w:id="2" w:name="page3"/>
    <w:bookmarkEnd w:id="2"/>
    <w:p>
      <w:pPr>
        <w:spacing w:after="0" w:line="19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914400</wp:posOffset>
            </wp:positionH>
            <wp:positionV relativeFrom="page">
              <wp:posOffset>339725</wp:posOffset>
            </wp:positionV>
            <wp:extent cx="2581275" cy="38671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86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right"/>
        <w:ind w:left="5940" w:right="14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GraniteShares 3x Short Tesla Daily ETP Key Information Document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I załóżmy, że zainwestujesz 10,000 dolarów.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Dane te są szacunkowe i mogą ulec zmianie w przyszłości.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00" w:right="120"/>
        <w:spacing w:after="0" w:line="28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Osoba, która sprzedaje lub doradza Ci ten produkt, może obciążyć Cię innymi kosztami.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Jeśli tak, osoba ta dostarczy Ci informacji o tych kosztach i pokaże Ci wpływ, jaki wszystkie koszty będą miały na Twoją inwestycję w czasie.</w:t>
      </w:r>
    </w:p>
    <w:p>
      <w:pPr>
        <w:spacing w:after="0" w:line="3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Struktura kosztów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Poniższa tabela przedstawia: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820" w:right="260" w:hanging="360"/>
        <w:spacing w:after="0" w:line="256" w:lineRule="auto"/>
        <w:tabs>
          <w:tab w:leader="none" w:pos="820" w:val="left"/>
        </w:tabs>
        <w:numPr>
          <w:ilvl w:val="0"/>
          <w:numId w:val="1"/>
        </w:numPr>
        <w:rPr>
          <w:rFonts w:ascii="Calibri" w:cs="Calibri" w:eastAsia="Calibri" w:hAnsi="Calibri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wpływ każdego roku różnych rodzajów kosztów na zwrot z inwestycji, jaki można uzyskać pod koniec zalecanego okresu utrzymywania;</w:t>
      </w:r>
    </w:p>
    <w:p>
      <w:pPr xmlns:w="http://schemas.openxmlformats.org/wordprocessingml/2006/main">
        <w:ind w:left="820" w:hanging="362"/>
        <w:spacing w:after="0"/>
        <w:tabs>
          <w:tab w:leader="none" w:pos="820" w:val="left"/>
        </w:tabs>
        <w:numPr>
          <w:ilvl w:val="0"/>
          <w:numId w:val="1"/>
        </w:numPr>
        <w:rPr>
          <w:rFonts w:ascii="Calibri" w:cs="Calibri" w:eastAsia="Calibri" w:hAnsi="Calibri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Znaczenie różnych kategorii kosztów.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95250</wp:posOffset>
                </wp:positionV>
                <wp:extent cx="6062345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23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pt,7.5pt" to="477.65pt,7.5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92075</wp:posOffset>
                </wp:positionV>
                <wp:extent cx="0" cy="252539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525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5pt,7.25pt" to="0.55pt,206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6062980</wp:posOffset>
                </wp:positionH>
                <wp:positionV relativeFrom="paragraph">
                  <wp:posOffset>92075</wp:posOffset>
                </wp:positionV>
                <wp:extent cx="0" cy="252539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525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77.4pt,7.25pt" to="477.4pt,206.1pt" o:allowincell="f" strokecolor="#000000" strokeweight="0.4799pt"/>
            </w:pict>
          </mc:Fallback>
        </mc:AlternateContent>
      </w:r>
    </w:p>
    <w:p>
      <w:pPr>
        <w:spacing w:after="0" w:line="2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W poniższej tabeli przedstawiono wpływ na roczny zwrot z inwestycji</w:t>
      </w:r>
    </w:p>
    <w:p>
      <w:pPr>
        <w:spacing w:after="0" w:line="11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1"/>
        </w:trPr>
        <w:tc>
          <w:tcPr>
            <w:tcW w:w="11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Jednorazowe</w:t>
            </w:r>
          </w:p>
        </w:tc>
        <w:tc>
          <w:tcPr>
            <w:tcW w:w="17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Koszty wejścia</w:t>
            </w:r>
          </w:p>
        </w:tc>
        <w:tc>
          <w:tcPr>
            <w:tcW w:w="6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0.00%</w:t>
            </w:r>
          </w:p>
        </w:tc>
        <w:tc>
          <w:tcPr>
            <w:tcW w:w="6100" w:type="dxa"/>
            <w:vAlign w:val="bottom"/>
            <w:tcBorders>
              <w:top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Wpływ kosztów ponoszonych przy wejściu na teren inwestycji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1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koszty</w:t>
            </w: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Koszty wyjścia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0.00%</w:t>
            </w:r>
          </w:p>
        </w:tc>
        <w:tc>
          <w:tcPr>
            <w:tcW w:w="6100" w:type="dxa"/>
            <w:vAlign w:val="bottom"/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Wpływ kosztów wyjścia z inwestycji w momencie jej dojrzewania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7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1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7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Portfel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100" w:type="dxa"/>
            <w:vAlign w:val="bottom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Wpływ kosztów zakupu i sprzedaży przez nas inwestycji bazowych na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1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W toku</w:t>
            </w: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koszty transakcyjne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5.20%</w:t>
            </w:r>
          </w:p>
        </w:tc>
        <w:tc>
          <w:tcPr>
            <w:tcW w:w="6100" w:type="dxa"/>
            <w:vAlign w:val="bottom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produkt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0"/>
        </w:trPr>
        <w:tc>
          <w:tcPr>
            <w:tcW w:w="11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4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koszty</w:t>
            </w: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Inne w toku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0.99%</w:t>
            </w:r>
          </w:p>
        </w:tc>
        <w:tc>
          <w:tcPr>
            <w:tcW w:w="6100" w:type="dxa"/>
            <w:vAlign w:val="bottom"/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Wpływ kosztów, jakie ponosimy każdego roku w związku z zarządzaniem Państwa inwestycjami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koszty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0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"/>
        </w:trPr>
        <w:tc>
          <w:tcPr>
            <w:tcW w:w="1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12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Przypadkowe</w:t>
            </w: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Opłata za wyniki</w:t>
            </w: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0.00%</w:t>
            </w: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 opłaty za wyniki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auto"/>
              </w:rPr>
              <w:t xml:space="preserve">koszty</w:t>
            </w: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Przenoszone udziały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0.00%</w:t>
            </w:r>
          </w:p>
        </w:tc>
        <w:tc>
          <w:tcPr>
            <w:tcW w:w="6100" w:type="dxa"/>
            <w:vAlign w:val="bottom"/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Nie ma żadnych interesów notowanych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1"/>
        </w:trPr>
        <w:tc>
          <w:tcPr>
            <w:tcW w:w="1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7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140335</wp:posOffset>
            </wp:positionV>
            <wp:extent cx="6071235" cy="22860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Jak długo powinienem trzymać produkt i czy mogę wcześnie zabrać pieniądze?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Zalecany okres przechowywania: jeden (1) dzień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540"/>
        <w:spacing w:after="0" w:line="29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Utrzymywanie tego produktu przez okres dłuższy niż jeden dzień prawdopodobnie doprowadzi do zwrotu, który jest inny niż -3-krotność zwrotu z bazowego zasobu w tym okresie utrzymywania.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Efekt składany może mieć pozytywny lub negatywny wpływ na rentowność produktu, ale ma zwykle negatywny wpływ na większą zmienność akcji bazowych.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53340</wp:posOffset>
            </wp:positionV>
            <wp:extent cx="6071235" cy="22860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Jak mogę złożyć skargę?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66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Reklamacje dotyczące produktu, zachowania GraniteShares i/lub osoby doradzającej lub sprzedającej produkt mogą być składane: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920" w:hanging="368"/>
        <w:spacing w:after="0"/>
        <w:tabs>
          <w:tab w:leader="none" w:pos="92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na piśmie: GraniteShares Ltd., Aldwych House, 71-91 Aldwych, London WC2B 4HN</w:t>
      </w:r>
    </w:p>
    <w:p>
      <w:pPr>
        <w:spacing w:after="0" w:line="1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920" w:hanging="368"/>
        <w:spacing w:after="0"/>
        <w:tabs>
          <w:tab w:leader="none" w:pos="92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za pośrednictwem poczty elektronicznej: europe@graniteshares.com; lub</w:t>
      </w:r>
    </w:p>
    <w:p>
      <w:pPr>
        <w:spacing w:after="0" w:line="2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900" w:hanging="353"/>
        <w:spacing w:after="0"/>
        <w:tabs>
          <w:tab w:leader="none" w:pos="90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na naszej stronie internetowej: https://www.graniteshares.com/ETPs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8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Prosimy o podanie jak najwięcej szczegółów dotyczących reklamacji, wraz z imieniem i nazwiskiem, adresem, numerem kontaktowym oraz dogodnym dla nas terminem, w którym możemy zadzwonić w celu omówienia reklamacji.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6071235" cy="22860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Inne istotne informacje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300"/>
        <w:spacing w:after="0" w:line="29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Ryzyka przedstawione w niniejszym dokumencie uwidaczniają niektóre, ale nie wszystkie, ryzyka związane z inwestowaniem w ten produkt.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Przed podjęciem jakiejkolwiek decyzji inwestycyjnej należy upewnić się, że w pełni rozumiesz ryzyko związane z tym produktem i w razie potrzeby zasięgnąć fachowej porady.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Pełne warunki i zasady dotyczące produktu są określone w Prospekcie emisyjnym dotyczącym emisji produktu uzupełnianym i zmienianym od czasu do czasu.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Prospekt emisyjny można znaleźć tutaj: https://www.graniteshares.com/ETPs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"/>
        </w:trPr>
        <w:tc>
          <w:tcPr>
            <w:tcW w:w="596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969696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39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  <w:vertAlign w:val="superscript"/>
              </w:rPr>
              <w:t xml:space="preserve">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piętro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+44 (0) 20 3950 1442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18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167-169 Great Portland St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rFonts w:ascii="Arial" w:cs="Arial" w:eastAsia="Arial" w:hAnsi="Arial"/>
                <w:sz w:val="16"/>
                <w:szCs w:val="16"/>
                <w:color w:val="auto"/>
              </w:rPr>
            </w:pPr>
            <w:hyperlink r:id="rId18">
              <w:r>
                <w:rPr xmlns:w="http://schemas.openxmlformats.org/wordprocessingml/2006/main">
                  <w:rFonts w:ascii="Arial" w:cs="Arial" w:eastAsia="Arial" w:hAnsi="Arial"/>
                  <w:sz w:val="16"/>
                  <w:szCs w:val="16"/>
                  <w:color w:val="auto"/>
                </w:rPr>
                <w:t xml:space="preserve">europe@graniteshares.com</w:t>
              </w:r>
            </w:hyperlink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41"/>
        </w:trPr>
        <w:tc>
          <w:tcPr>
            <w:tcW w:w="5960" w:type="dxa"/>
            <w:vAlign w:val="bottom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Londyn W1W 5PF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graniteshares.com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49"/>
        </w:trPr>
        <w:tc>
          <w:tcPr>
            <w:tcW w:w="5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5348605</wp:posOffset>
            </wp:positionH>
            <wp:positionV relativeFrom="paragraph">
              <wp:posOffset>-524510</wp:posOffset>
            </wp:positionV>
            <wp:extent cx="814705" cy="4997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2240" w:h="16037" w:orient="portrait"/>
      <w:cols w:equalWidth="0" w:num="1">
        <w:col w:w="9580"/>
      </w:cols>
      <w:pgMar w:left="1340" w:top="559" w:right="1320" w:bottom="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2000019F" w:csb1="00000000"/>
  </w:font>
</w:fonts>
</file>

<file path=word/numbering.xml><?xml version="1.0" encoding="utf-8"?>
<w:numbering xmlns:w="http://schemas.openxmlformats.org/wordprocessingml/2006/main">
  <w:abstractNum w:abstractNumId="0">
    <w:nsid w:val="2B2647CE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32776935"/>
    <w:multiLevelType w:val="hybridMultilevel"/>
    <w:lvl w:ilvl="0">
      <w:lvlJc w:val="left"/>
      <w:lvlText w:val="•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9" Type="http://schemas.openxmlformats.org/officeDocument/2006/relationships/image" Target="media/image7.jpeg"/><Relationship Id="rId20" Type="http://schemas.openxmlformats.org/officeDocument/2006/relationships/image" Target="media/image8.jpe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jpeg"/><Relationship Id="rId27" Type="http://schemas.openxmlformats.org/officeDocument/2006/relationships/image" Target="media/image15.jpe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jpeg"/><Relationship Id="rId18" Type="http://schemas.openxmlformats.org/officeDocument/2006/relationships/hyperlink" Target="mailto:europe@graniteshares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2024-05-21T08:32:40Z</dcterms:created>
  <dcterms:modified xsi:type="dcterms:W3CDTF">2024-05-21T08:32:40Z</dcterms:modified>
</cp:coreProperties>
</file>