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1359535" cy="2406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24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32"/>
          <w:szCs w:val="32"/>
          <w:b w:val="1"/>
          <w:bCs w:val="1"/>
          <w:color w:val="auto"/>
        </w:rPr>
        <w:t xml:space="preserve"> Dokument zawierający kluczowe informacje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300" w:right="220" w:firstLine="17"/>
        <w:spacing w:after="0" w:line="24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Cel: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Niniejszy dokument zawiera kluczowe informacje na temat tego produktu inwestycyjnego.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Nie jest to materiał marketingowy.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Informacje te są wymagane przez prawo, aby pomóc Ci zrozumieć charakter, ryzyko, koszty, potencjalne zyski i straty tego produktu oraz aby pomóc Ci porównać go z innymi produktami.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88265</wp:posOffset>
                </wp:positionV>
                <wp:extent cx="6839585" cy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.15pt,6.95pt" to="540.7pt,6.95pt" o:allowincell="f" strokecolor="#002453" strokeweight="0.7199pt"/>
            </w:pict>
          </mc:Fallback>
        </mc:AlternateContent>
      </w:r>
    </w:p>
    <w:p>
      <w:pPr>
        <w:spacing w:after="0" w:line="19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Nazwa produktu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: Invesco Physical Bitcoin (BTIC GY), XS2376095068 (ISIN)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Producent PRIIP: Invesco Digital Markets plc</w:t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80" w:right="140"/>
        <w:spacing w:after="0" w:line="25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Bundesanstalt für Finanzdienstleistungsaufsicht jest właściwym organem dla Invesco Digital Markets plc w odniesieniu do niniejszego dokumentu zawierającego kluczowe informacje.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Dane kontaktowe:</w:t>
      </w:r>
    </w:p>
    <w:p>
      <w:pPr>
        <w:spacing w:after="0" w:line="1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+44 (0) 20 3370 1100, </w:t>
      </w:r>
      <w:r>
        <w:rPr xmlns:w="http://schemas.openxmlformats.org/wordprocessingml/2006/main">
          <w:rFonts w:ascii="Arial" w:cs="Arial" w:eastAsia="Arial" w:hAnsi="Arial"/>
          <w:sz w:val="16"/>
          <w:szCs w:val="16"/>
          <w:u w:val="single" w:color="auto"/>
          <w:color w:val="0000FF"/>
        </w:rPr>
        <w:t xml:space="preserve">Invest@Invesco.com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lub </w:t>
      </w:r>
      <w:r>
        <w:rPr xmlns:w="http://schemas.openxmlformats.org/wordprocessingml/2006/main">
          <w:rFonts w:ascii="Arial" w:cs="Arial" w:eastAsia="Arial" w:hAnsi="Arial"/>
          <w:sz w:val="16"/>
          <w:szCs w:val="16"/>
          <w:u w:val="single" w:color="auto"/>
          <w:color w:val="0000FF"/>
        </w:rPr>
        <w:t xml:space="preserve">https://etf.invesco.com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OSTRZEŻENIE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: Zamierzasz kupić produkt, który nie jest prosty i może być trudny do zrozumienia.</w:t>
      </w:r>
    </w:p>
    <w:p>
      <w:pPr>
        <w:spacing w:after="0" w:line="7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Dokument ten został sporządzony 6 grudnia 2023 roku.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48260</wp:posOffset>
                </wp:positionH>
                <wp:positionV relativeFrom="paragraph">
                  <wp:posOffset>41275</wp:posOffset>
                </wp:positionV>
                <wp:extent cx="6840220" cy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.8pt,3.25pt" to="542.4pt,3.25pt" o:allowincell="f" strokecolor="#002453" strokeweight="0.8399pt"/>
            </w:pict>
          </mc:Fallback>
        </mc:AlternateContent>
      </w:r>
    </w:p>
    <w:p>
      <w:pPr>
        <w:spacing w:after="0" w:line="92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30"/>
        </w:trPr>
        <w:tc>
          <w:tcPr>
            <w:tcW w:w="54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 xml:space="preserve">Co to za produkt?</w:t>
            </w:r>
          </w:p>
        </w:tc>
        <w:tc>
          <w:tcPr>
            <w:tcW w:w="5520" w:type="dxa"/>
            <w:vAlign w:val="bottom"/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auto"/>
              </w:rPr>
              <w:t xml:space="preserve">Produkt jest w 100% wspierany przez "fizyczny" Bitcoin równy co najmniej pełnej wartości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5420" w:type="dxa"/>
            <w:vAlign w:val="bottom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 xml:space="preserve">Typ:</w:t>
            </w:r>
          </w:p>
        </w:tc>
        <w:tc>
          <w:tcPr>
            <w:tcW w:w="5520" w:type="dxa"/>
            <w:vAlign w:val="bottom"/>
          </w:tcPr>
          <w:p>
            <w:pPr xmlns:w="http://schemas.openxmlformats.org/wordprocessingml/2006/main">
              <w:ind w:left="140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auto"/>
              </w:rPr>
              <w:t xml:space="preserve">wystawionych i przechowywanych w portfelu depozytariusza, który jest w posiadaniu Powiernika Zodia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54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520" w:type="dxa"/>
            <w:vAlign w:val="bottom"/>
            <w:vMerge w:val="restart"/>
          </w:tcPr>
          <w:p>
            <w:pPr xmlns:w="http://schemas.openxmlformats.org/wordprocessingml/2006/main">
              <w:ind w:left="140"/>
              <w:spacing w:after="0" w:line="15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auto"/>
              </w:rPr>
              <w:t xml:space="preserve">Ograniczone.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5420" w:type="dxa"/>
            <w:vAlign w:val="bottom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auto"/>
              </w:rPr>
              <w:t xml:space="preserve">Ten produkt jest papierami dłużnymi o ograniczonym regresie, które są w pełni zabezpieczone</w:t>
            </w:r>
          </w:p>
        </w:tc>
        <w:tc>
          <w:tcPr>
            <w:tcW w:w="5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542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520" w:type="dxa"/>
            <w:vAlign w:val="bottom"/>
            <w:vMerge w:val="restart"/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auto"/>
              </w:rPr>
              <w:t xml:space="preserve">Fizycznie wspierany przez Bitcoin oznacza, że jeśli cena Bitcoina wzrasta o 1% w ciągu dnia,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5420" w:type="dxa"/>
            <w:vAlign w:val="bottom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auto"/>
              </w:rPr>
              <w:t xml:space="preserve">Bitcoin.</w:t>
            </w:r>
          </w:p>
        </w:tc>
        <w:tc>
          <w:tcPr>
            <w:tcW w:w="5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54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520" w:type="dxa"/>
            <w:vAlign w:val="bottom"/>
            <w:vMerge w:val="restart"/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auto"/>
                <w:w w:val="98"/>
              </w:rPr>
              <w:t xml:space="preserve">wtedy europejska platforma technologiczna wzrośnie o 1%.</w:t>
            </w: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auto"/>
                <w:w w:val="98"/>
              </w:rPr>
              <w:t xml:space="preserve"> Jeśli jednak cena Bitcoina spadnie o 1% w ciągu dnia, to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5420" w:type="dxa"/>
            <w:vAlign w:val="bottom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 xml:space="preserve">Termin:</w:t>
            </w:r>
          </w:p>
        </w:tc>
        <w:tc>
          <w:tcPr>
            <w:tcW w:w="552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54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520" w:type="dxa"/>
            <w:vAlign w:val="bottom"/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auto"/>
              </w:rPr>
              <w:t xml:space="preserve">EPT zmniejszy się o 1%.</w:t>
            </w: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auto"/>
              </w:rPr>
              <w:t xml:space="preserve"> W obu przypadkach z wyłączeniem opłat, kosztów i korekt.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54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auto"/>
              </w:rPr>
              <w:t xml:space="preserve">Ostateczny termin zapadalności tego produktu upływa 30 czerwca 2121 r.</w:t>
            </w: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auto"/>
              </w:rPr>
              <w:t xml:space="preserve"> Emitent ma prawo do</w:t>
            </w:r>
          </w:p>
        </w:tc>
        <w:tc>
          <w:tcPr>
            <w:tcW w:w="5520" w:type="dxa"/>
            <w:vAlign w:val="bottom"/>
            <w:vMerge w:val="restart"/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auto"/>
              </w:rPr>
              <w:t xml:space="preserve">Możesz handlować tym produktem na różnych giełdach papierów wartościowych według własnego uznania.</w:t>
            </w: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auto"/>
              </w:rPr>
              <w:t xml:space="preserve"> Ty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5420" w:type="dxa"/>
            <w:vAlign w:val="bottom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auto"/>
              </w:rPr>
              <w:t xml:space="preserve">zakończyć produkt w ograniczonej liczbie okoliczności określonych w</w:t>
            </w:r>
          </w:p>
        </w:tc>
        <w:tc>
          <w:tcPr>
            <w:tcW w:w="5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54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520" w:type="dxa"/>
            <w:vAlign w:val="bottom"/>
            <w:vMerge w:val="restart"/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auto"/>
              </w:rPr>
              <w:t xml:space="preserve">może stracić pełną wartość początkowej inwestycji, ale nie stracisz więcej niż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5420" w:type="dxa"/>
            <w:vAlign w:val="bottom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auto"/>
              </w:rPr>
              <w:t xml:space="preserve">prospekt emisyjny.</w:t>
            </w:r>
          </w:p>
        </w:tc>
        <w:tc>
          <w:tcPr>
            <w:tcW w:w="5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54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520" w:type="dxa"/>
            <w:vAlign w:val="bottom"/>
            <w:vMerge w:val="restart"/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auto"/>
              </w:rPr>
              <w:t xml:space="preserve">inwestycja początkowa.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5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52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8" w:lineRule="exact"/>
        <w:rPr>
          <w:sz w:val="24"/>
          <w:szCs w:val="24"/>
          <w:color w:val="auto"/>
        </w:rPr>
      </w:pPr>
    </w:p>
    <w:p>
      <w:pPr>
        <w:sectPr>
          <w:pgSz w:w="11900" w:h="16840" w:orient="portrait"/>
          <w:cols w:equalWidth="0" w:num="1">
            <w:col w:w="11000"/>
          </w:cols>
          <w:pgMar w:left="480" w:top="431" w:right="420" w:bottom="0" w:gutter="0" w:footer="0" w:header="0"/>
        </w:sectPr>
      </w:pPr>
    </w:p>
    <w:p>
      <w:pPr xmlns:w="http://schemas.openxmlformats.org/wordprocessingml/2006/main">
        <w:ind w:left="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auto"/>
        </w:rPr>
        <w:t xml:space="preserve">Cele:</w:t>
      </w:r>
    </w:p>
    <w:p>
      <w:pPr>
        <w:spacing w:after="0" w:line="4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80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Invesco Physical Bitcoin jest fizycznie wspieranym produktem typu ETP (Exchange Traded Product).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Celem tego produktu jest zaoferowanie inwestorom prostego i opłacalnego sposobu na uzyskanie ekspozycji na cenę Bitcoina.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Walutą bazową jest USD.</w:t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auto"/>
        </w:rPr>
        <w:t xml:space="preserve">Zamierzony Inwestor Detaliczny: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Produkt przeznaczony jest dla profesjonalnych i wyrafinowanych inwestorów detalicznych, którzy: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600"/>
        <w:spacing w:after="0" w:line="247" w:lineRule="auto"/>
        <w:rPr>
          <w:sz w:val="24"/>
          <w:szCs w:val="24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posiadają wystarczającą wiedzę i doświadczenie, aby ocenić zalety i ryzyko ich inwestycji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600" w:right="20"/>
        <w:spacing w:after="0" w:line="247" w:lineRule="auto"/>
        <w:rPr>
          <w:sz w:val="24"/>
          <w:szCs w:val="24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zrozumienie ryzyk związanych z kryptowalutami, a w szczególności ich potencjalnej zmienności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sectPr>
          <w:pgSz w:w="11900" w:h="16840" w:orient="portrait"/>
          <w:cols w:equalWidth="0" w:num="2">
            <w:col w:w="5340" w:space="300"/>
            <w:col w:w="5360"/>
          </w:cols>
          <w:pgMar w:left="480" w:top="431" w:right="420" w:bottom="0" w:gutter="0" w:footer="0" w:header="0"/>
          <w:type w:val="continuous"/>
        </w:sectPr>
      </w:pPr>
    </w:p>
    <w:p>
      <w:pPr xmlns:w="http://schemas.openxmlformats.org/wordprocessingml/2006/main">
        <w:ind w:left="5880"/>
        <w:spacing w:after="0"/>
        <w:tabs>
          <w:tab w:leader="none" w:pos="622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 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Zrozumieć, że w przypadku włamania do systemu powiernika cyfrowego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62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Posiadacze certyfikatów danej serii mogą ryzykować utratę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62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inwestycja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5880"/>
        <w:spacing w:after="0"/>
        <w:tabs>
          <w:tab w:leader="none" w:pos="622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 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może ponieść utratę kapitału i zrozumieć, że kryptowaluty nie mają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62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Każda wewnętrzna wartość i dlatego może stać się bezwartościowa.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48260</wp:posOffset>
                </wp:positionH>
                <wp:positionV relativeFrom="paragraph">
                  <wp:posOffset>469900</wp:posOffset>
                </wp:positionV>
                <wp:extent cx="6840220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.8pt,37pt" to="542.4pt,37pt" o:allowincell="f" strokecolor="#002453" strokeweight="0.72pt"/>
            </w:pict>
          </mc:Fallback>
        </mc:AlternateConten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8" w:lineRule="exact"/>
        <w:rPr>
          <w:sz w:val="24"/>
          <w:szCs w:val="24"/>
          <w:color w:val="auto"/>
        </w:rPr>
      </w:pPr>
    </w:p>
    <w:tbl>
      <w:tblPr>
        <w:tblLayout w:type="fixed"/>
        <w:tblInd w:w="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30"/>
        </w:trPr>
        <w:tc>
          <w:tcPr>
            <w:tcW w:w="4820" w:type="dxa"/>
            <w:vAlign w:val="bottom"/>
            <w:gridSpan w:val="8"/>
          </w:tcPr>
          <w:p>
            <w:pPr xmlns:w="http://schemas.openxmlformats.org/wordprocessingml/2006/main">
              <w:jc w:val="right"/>
              <w:ind w:right="12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 xml:space="preserve">Jakie jest ryzyko i co mogę dostać w zamian?</w:t>
            </w:r>
          </w:p>
        </w:tc>
        <w:tc>
          <w:tcPr>
            <w:tcW w:w="5980" w:type="dxa"/>
            <w:vAlign w:val="bottom"/>
            <w:vMerge w:val="restart"/>
          </w:tcPr>
          <w:p>
            <w:pPr xmlns:w="http://schemas.openxmlformats.org/wordprocessingml/2006/main"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auto"/>
              </w:rPr>
              <w:t xml:space="preserve">Zaklasyfikowaliśmy ten produkt jako 6 z 7, co jest drugą najwyższą klasą ryzyka.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1040" w:type="dxa"/>
            <w:vAlign w:val="bottom"/>
            <w:gridSpan w:val="2"/>
            <w:vMerge w:val="restart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  <w:w w:val="98"/>
              </w:rPr>
              <w:t xml:space="preserve">Wskaźnik Ryzyka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9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10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980" w:type="dxa"/>
            <w:vAlign w:val="bottom"/>
            <w:vMerge w:val="restart"/>
          </w:tcPr>
          <w:p>
            <w:pPr xmlns:w="http://schemas.openxmlformats.org/wordprocessingml/2006/main"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auto"/>
              </w:rPr>
              <w:t xml:space="preserve">W ten sposób ocenia się potencjalne straty wynikające z przyszłych wyników na wysokim poziomie i niski poziom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9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980" w:type="dxa"/>
            <w:vAlign w:val="bottom"/>
            <w:vMerge w:val="restart"/>
          </w:tcPr>
          <w:p>
            <w:pPr xmlns:w="http://schemas.openxmlformats.org/wordprocessingml/2006/main"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auto"/>
              </w:rPr>
              <w:t xml:space="preserve">Warunki rynkowe najprawdopodobniej wpłyną na możliwość uzyskania pozytywnego wyniku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 xmlns:w="http://schemas.openxmlformats.org/wordprocessingml/2006/main">
              <w:jc w:val="center"/>
              <w:ind w:right="104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  <w:w w:val="95"/>
              </w:rPr>
              <w:t xml:space="preserve">Niższe ryzyko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20" w:type="dxa"/>
            <w:vAlign w:val="bottom"/>
            <w:vMerge w:val="restart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 xml:space="preserve">Wyższe ryzyko</w:t>
            </w:r>
          </w:p>
        </w:tc>
        <w:tc>
          <w:tcPr>
            <w:tcW w:w="598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980" w:type="dxa"/>
            <w:vAlign w:val="bottom"/>
            <w:vMerge w:val="restart"/>
          </w:tcPr>
          <w:p>
            <w:pPr xmlns:w="http://schemas.openxmlformats.org/wordprocessingml/2006/main"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auto"/>
              </w:rPr>
              <w:t xml:space="preserve">zwrot z inwestycji.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980" w:type="dxa"/>
            <w:vAlign w:val="bottom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98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980" w:type="dxa"/>
            <w:vAlign w:val="bottom"/>
          </w:tcPr>
          <w:p>
            <w:pPr xmlns:w="http://schemas.openxmlformats.org/wordprocessingml/2006/main"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 xml:space="preserve">Bądź świadomy ryzyka walutowego.</w:t>
            </w: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 xml:space="preserve"> W niektórych okolicznościach możesz otrzymać płatności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1040" w:type="dxa"/>
            <w:vAlign w:val="bottom"/>
            <w:gridSpan w:val="2"/>
            <w:vMerge w:val="restart"/>
          </w:tcPr>
          <w:p>
            <w:pPr xmlns:w="http://schemas.openxmlformats.org/wordprocessingml/2006/main">
              <w:jc w:val="center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  <w:w w:val="71"/>
              </w:rPr>
              <w:t xml:space="preserve">1</w:t>
            </w:r>
          </w:p>
        </w:tc>
        <w:tc>
          <w:tcPr>
            <w:tcW w:w="62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3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2</w:t>
            </w:r>
          </w:p>
        </w:tc>
        <w:tc>
          <w:tcPr>
            <w:tcW w:w="50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3</w:t>
            </w:r>
          </w:p>
        </w:tc>
        <w:tc>
          <w:tcPr>
            <w:tcW w:w="70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4</w:t>
            </w:r>
          </w:p>
        </w:tc>
        <w:tc>
          <w:tcPr>
            <w:tcW w:w="64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5</w:t>
            </w:r>
          </w:p>
        </w:tc>
        <w:tc>
          <w:tcPr>
            <w:tcW w:w="500" w:type="dxa"/>
            <w:vAlign w:val="bottom"/>
            <w:vMerge w:val="restart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b w:val="1"/>
                <w:bCs w:val="1"/>
                <w:color w:val="FFFFFF"/>
              </w:rPr>
              <w:t xml:space="preserve">6</w:t>
            </w:r>
          </w:p>
        </w:tc>
        <w:tc>
          <w:tcPr>
            <w:tcW w:w="82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72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7</w:t>
            </w:r>
          </w:p>
        </w:tc>
        <w:tc>
          <w:tcPr>
            <w:tcW w:w="5980" w:type="dxa"/>
            <w:vAlign w:val="bottom"/>
          </w:tcPr>
          <w:p>
            <w:pPr xmlns:w="http://schemas.openxmlformats.org/wordprocessingml/2006/main"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  <w:w w:val="99"/>
              </w:rPr>
              <w:t xml:space="preserve">w innej walucie niż lokalna, aby uzyskać ostateczny zwrot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104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980" w:type="dxa"/>
            <w:vAlign w:val="bottom"/>
            <w:vMerge w:val="restart"/>
          </w:tcPr>
          <w:p>
            <w:pPr xmlns:w="http://schemas.openxmlformats.org/wordprocessingml/2006/main"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 xml:space="preserve">może zależeć od kursu wymiany między tymi dwiema walutami.</w:t>
            </w: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auto"/>
              </w:rPr>
              <w:t xml:space="preserve"> Ryzyko to nie jest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98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48895</wp:posOffset>
            </wp:positionH>
            <wp:positionV relativeFrom="paragraph">
              <wp:posOffset>-544830</wp:posOffset>
            </wp:positionV>
            <wp:extent cx="3180715" cy="62357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715" cy="623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56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auto"/>
        </w:rPr>
        <w:t xml:space="preserve">uwzględnione we wskaźniku przedstawionym powyżej.</w:t>
      </w:r>
    </w:p>
    <w:p>
      <w:pPr>
        <w:sectPr>
          <w:pgSz w:w="11900" w:h="16840" w:orient="portrait"/>
          <w:cols w:equalWidth="0" w:num="1">
            <w:col w:w="11000"/>
          </w:cols>
          <w:pgMar w:left="480" w:top="431" w:right="420" w:bottom="0" w:gutter="0" w:footer="0" w:header="0"/>
          <w:type w:val="continuous"/>
        </w:sectPr>
      </w:pPr>
    </w:p>
    <w:p>
      <w:pPr>
        <w:spacing w:after="0" w:line="5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80"/>
        <w:spacing w:after="0" w:line="26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Wskaźnik ryzyka zakłada przechowywanie produktu przez 5 lat.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Rzeczywiste ryzyko może się znacznie różnić, jeśli dokonasz wpłaty na wczesnym etapie, a otrzymasz mniej.</w:t>
      </w:r>
    </w:p>
    <w:p>
      <w:pPr>
        <w:spacing w:after="0" w:line="7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80"/>
        <w:spacing w:after="0" w:line="26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Podsumowujący wskaźnik ryzyka jest wskazówką dotyczącą poziomu ryzyka tego produktu w porównaniu z innymi produktami.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Pokazuje, jak prawdopodobne jest, że produkt straci pieniądze z powodu zmian na rynkach lub dlatego, że nie jesteśmy w stanie zapłacić.</w:t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right="140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W przypadku innych rodzajów ryzyka istotnych dla produktu, które nie są uwzględniane w zbiorczym wskaźniku ryzyka, prospekt emisyjny podstawowy produktu jest dostępny na stronie </w:t>
      </w:r>
      <w:r>
        <w:rPr xmlns:w="http://schemas.openxmlformats.org/wordprocessingml/2006/main">
          <w:rFonts w:ascii="Arial" w:cs="Arial" w:eastAsia="Arial" w:hAnsi="Arial"/>
          <w:sz w:val="14"/>
          <w:szCs w:val="14"/>
          <w:u w:val="single" w:color="auto"/>
          <w:color w:val="0000FF"/>
        </w:rPr>
        <w:t xml:space="preserve">etf.invesco.com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.</w:t>
      </w:r>
    </w:p>
    <w:p>
      <w:pPr>
        <w:spacing w:after="0" w:line="5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right="140"/>
        <w:spacing w:after="0" w:line="24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Ten produkt nie obejmuje żadnej ochrony przed przyszłą sytuacją rynkową, więc możesz stracić część lub całość inwestycji.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-3524885</wp:posOffset>
                </wp:positionH>
                <wp:positionV relativeFrom="paragraph">
                  <wp:posOffset>3641725</wp:posOffset>
                </wp:positionV>
                <wp:extent cx="6839585" cy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B4B4B4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77.5499pt,286.75pt" to="261pt,286.75pt" o:allowincell="f" strokecolor="#B4B4B4" strokeweight="0.9599pt"/>
            </w:pict>
          </mc:Fallback>
        </mc:AlternateContent>
      </w:r>
    </w:p>
    <w:p>
      <w:pPr>
        <w:spacing w:after="0" w:line="275" w:lineRule="exact"/>
        <w:rPr>
          <w:sz w:val="24"/>
          <w:szCs w:val="24"/>
          <w:color w:val="auto"/>
        </w:rPr>
      </w:pPr>
    </w:p>
    <w:p>
      <w:pPr>
        <w:sectPr>
          <w:pgSz w:w="11900" w:h="16840" w:orient="portrait"/>
          <w:cols w:equalWidth="0" w:num="2">
            <w:col w:w="5220" w:space="420"/>
            <w:col w:w="5360"/>
          </w:cols>
          <w:pgMar w:left="480" w:top="431" w:right="420" w:bottom="0" w:gutter="0" w:footer="0" w:header="0"/>
          <w:type w:val="continuous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Strona 1 z 3 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| Dokument zawierający kluczowe informacje 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| 6 grudnia 2023</w:t>
      </w:r>
    </w:p>
    <w:p>
      <w:pPr>
        <w:sectPr>
          <w:pgSz w:w="11900" w:h="16840" w:orient="portrait"/>
          <w:cols w:equalWidth="0" w:num="1">
            <w:col w:w="11000"/>
          </w:cols>
          <w:pgMar w:left="480" w:top="431" w:right="420" w:bottom="0" w:gutter="0" w:footer="0" w:header="0"/>
          <w:type w:val="continuous"/>
        </w:sectPr>
      </w:pPr>
    </w:p>
    <w:bookmarkStart w:id="1" w:name="page2"/>
    <w:bookmarkEnd w:id="1"/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Invesco Physical Bitcoin, subfundusz Invesco Digital Markets plc - (XS2376095068)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50800</wp:posOffset>
                </wp:positionV>
                <wp:extent cx="6840220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B4B4B4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.4pt,4pt" to="540pt,4pt" o:allowincell="f" strokecolor="#B4B4B4" strokeweight="0.9599pt"/>
            </w:pict>
          </mc:Fallback>
        </mc:AlternateContent>
      </w:r>
    </w:p>
    <w:p>
      <w:pPr>
        <w:spacing w:after="0" w:line="25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2"/>
          <w:szCs w:val="22"/>
          <w:b w:val="1"/>
          <w:bCs w:val="1"/>
          <w:color w:val="auto"/>
        </w:rPr>
        <w:t xml:space="preserve">Scenariusze wydajności</w:t>
      </w:r>
    </w:p>
    <w:p>
      <w:pPr>
        <w:spacing w:after="0" w:line="9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 w:right="40"/>
        <w:spacing w:after="0" w:line="27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Podane liczby obejmują wszystkie koszty samego produktu, ale mogą nie obejmować wszystkich kosztów, które płacisz swojemu doradcy lub dystrybutorowi.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Liczby nie uwzględniają Twojej osobistej sytuacji podatkowej, co może mieć również wpływ na to, ile odzyskasz.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To, co uzyskasz z tego produktu, zależy od przyszłej wydajności rynku.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Rozwój rynku w przyszłości jest niepewny i nie można go dokładnie przewidzieć.</w:t>
      </w:r>
    </w:p>
    <w:p>
      <w:pPr>
        <w:spacing w:after="0" w:line="7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 w:right="40"/>
        <w:spacing w:after="0" w:line="27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Pokazane scenariusze niekorzystne, umiarkowane i korzystne są ilustracjami przedstawiającymi najgorsze, średnie i najlepsze wyniki Funduszu w ciągu ostatnich 10 lat.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Scenariusz warunków skrajnych pokazuje, co możesz odzyskać w ekstremalnych warunkach rynkowych.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222250</wp:posOffset>
                </wp:positionV>
                <wp:extent cx="6847840" cy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78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8pt,17.5pt" to="540pt,17.5pt" o:allowincell="f" strokecolor="#002453" strokeweight="0.9599pt"/>
            </w:pict>
          </mc:Fallback>
        </mc:AlternateContent>
      </w:r>
    </w:p>
    <w:p>
      <w:pPr>
        <w:spacing w:after="0" w:line="383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960" w:type="dxa"/>
            <w:vAlign w:val="bottom"/>
            <w:gridSpan w:val="3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EB6852"/>
              </w:rPr>
              <w:t xml:space="preserve">Zalecany okres przechowywania: 5 lat</w:t>
            </w:r>
          </w:p>
        </w:tc>
        <w:tc>
          <w:tcPr>
            <w:tcW w:w="2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EB6852"/>
                <w:w w:val="94"/>
              </w:rPr>
              <w:t xml:space="preserve">Inwestycje: 10 000 USD</w:t>
            </w:r>
          </w:p>
        </w:tc>
        <w:tc>
          <w:tcPr>
            <w:tcW w:w="4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10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4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EB6852"/>
              </w:rPr>
              <w:t xml:space="preserve">Scenariusze</w:t>
            </w:r>
          </w:p>
        </w:tc>
        <w:tc>
          <w:tcPr>
            <w:tcW w:w="410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540" w:type="dxa"/>
            <w:vAlign w:val="bottom"/>
            <w:vMerge w:val="restart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EB6852"/>
              </w:rPr>
              <w:t xml:space="preserve">Wyjście z programu po 5 latach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right w:val="single" w:sz="8" w:color="002453"/>
            </w:tcBorders>
            <w:gridSpan w:val="3"/>
            <w:vMerge w:val="restart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EB6852"/>
              </w:rPr>
              <w:t xml:space="preserve">Minimum: Nie ma minimalnego gwarantowanego zwrotu.</w:t>
            </w: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EB6852"/>
              </w:rPr>
              <w:t xml:space="preserve"> Możesz stracić część lub całość swoich</w:t>
            </w:r>
          </w:p>
        </w:tc>
        <w:tc>
          <w:tcPr>
            <w:tcW w:w="2300" w:type="dxa"/>
            <w:vAlign w:val="bottom"/>
            <w:tcBorders>
              <w:right w:val="single" w:sz="8" w:color="002453"/>
            </w:tcBorders>
            <w:vMerge w:val="restart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EB6852"/>
                <w:w w:val="99"/>
              </w:rPr>
              <w:t xml:space="preserve">Jeśli wyjdziesz po 1 roku</w:t>
            </w:r>
          </w:p>
        </w:tc>
        <w:tc>
          <w:tcPr>
            <w:tcW w:w="254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right w:val="single" w:sz="8" w:color="002453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right w:val="single" w:sz="8" w:color="002453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540" w:type="dxa"/>
            <w:vAlign w:val="bottom"/>
            <w:vMerge w:val="restart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EB6852"/>
              </w:rPr>
              <w:t xml:space="preserve">(zalecany okres utrzymywania)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  <w:vMerge w:val="restart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EB6852"/>
              </w:rPr>
              <w:t xml:space="preserve">inwestycji.</w:t>
            </w:r>
          </w:p>
        </w:tc>
        <w:tc>
          <w:tcPr>
            <w:tcW w:w="410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5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6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10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5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002453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002453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10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540" w:type="dxa"/>
            <w:vAlign w:val="bottom"/>
            <w:tcBorders>
              <w:bottom w:val="single" w:sz="8" w:color="002453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92E5D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Naprężenie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100" w:type="dxa"/>
            <w:vAlign w:val="bottom"/>
            <w:tcBorders>
              <w:right w:val="single" w:sz="8" w:color="092E5D"/>
            </w:tcBorders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Co możesz odzyskać po kosztach</w:t>
            </w:r>
          </w:p>
        </w:tc>
        <w:tc>
          <w:tcPr>
            <w:tcW w:w="2300" w:type="dxa"/>
            <w:vAlign w:val="bottom"/>
            <w:tcBorders>
              <w:right w:val="single" w:sz="8" w:color="092E5D"/>
            </w:tcBorders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  <w:w w:val="98"/>
              </w:rPr>
              <w:t xml:space="preserve">180 USD</w:t>
            </w:r>
          </w:p>
        </w:tc>
        <w:tc>
          <w:tcPr>
            <w:tcW w:w="2540" w:type="dxa"/>
            <w:vAlign w:val="bottom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20 USD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92E5D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100" w:type="dxa"/>
            <w:vAlign w:val="bottom"/>
            <w:tcBorders>
              <w:right w:val="single" w:sz="8" w:color="092E5D"/>
            </w:tcBorders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Średni zwrot w każdym roku</w:t>
            </w:r>
          </w:p>
        </w:tc>
        <w:tc>
          <w:tcPr>
            <w:tcW w:w="2300" w:type="dxa"/>
            <w:vAlign w:val="bottom"/>
            <w:tcBorders>
              <w:right w:val="single" w:sz="8" w:color="092E5D"/>
            </w:tcBorders>
          </w:tcPr>
          <w:p>
            <w:pPr xmlns:w="http://schemas.openxmlformats.org/wordprocessingml/2006/main">
              <w:jc w:val="right"/>
              <w:ind w:right="8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98,24%</w:t>
            </w:r>
          </w:p>
        </w:tc>
        <w:tc>
          <w:tcPr>
            <w:tcW w:w="2540" w:type="dxa"/>
            <w:vAlign w:val="bottom"/>
          </w:tcPr>
          <w:p>
            <w:pPr xmlns:w="http://schemas.openxmlformats.org/wordprocessingml/2006/main">
              <w:jc w:val="right"/>
              <w:ind w:right="9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70,56%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092E5D"/>
              <w:right w:val="single" w:sz="8" w:color="092E5D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092E5D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100" w:type="dxa"/>
            <w:vAlign w:val="bottom"/>
            <w:tcBorders>
              <w:bottom w:val="single" w:sz="8" w:color="092E5D"/>
              <w:right w:val="single" w:sz="8" w:color="092E5D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bottom w:val="single" w:sz="8" w:color="092E5D"/>
              <w:right w:val="single" w:sz="8" w:color="092E5D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40" w:type="dxa"/>
            <w:vAlign w:val="bottom"/>
            <w:tcBorders>
              <w:bottom w:val="single" w:sz="8" w:color="092E5D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Niekorzystny¹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10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Co możesz odzyskać po kosztach</w:t>
            </w:r>
          </w:p>
        </w:tc>
        <w:tc>
          <w:tcPr>
            <w:tcW w:w="230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2 590 USD</w:t>
            </w:r>
          </w:p>
        </w:tc>
        <w:tc>
          <w:tcPr>
            <w:tcW w:w="2540" w:type="dxa"/>
            <w:vAlign w:val="bottom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  <w:w w:val="99"/>
              </w:rPr>
              <w:t xml:space="preserve">5 590 USD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10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Średni zwrot w każdym roku</w:t>
            </w:r>
          </w:p>
        </w:tc>
        <w:tc>
          <w:tcPr>
            <w:tcW w:w="2300" w:type="dxa"/>
            <w:vAlign w:val="bottom"/>
            <w:tcBorders>
              <w:right w:val="single" w:sz="8" w:color="002453"/>
            </w:tcBorders>
            <w:vMerge w:val="restart"/>
          </w:tcPr>
          <w:p>
            <w:pPr xmlns:w="http://schemas.openxmlformats.org/wordprocessingml/2006/main">
              <w:jc w:val="right"/>
              <w:ind w:right="8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74,06%</w:t>
            </w:r>
          </w:p>
        </w:tc>
        <w:tc>
          <w:tcPr>
            <w:tcW w:w="254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9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10,98%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10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right w:val="single" w:sz="8" w:color="002453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10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4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Umiarkowane²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10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Co możesz odzyskać po kosztach</w:t>
            </w:r>
          </w:p>
        </w:tc>
        <w:tc>
          <w:tcPr>
            <w:tcW w:w="230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  <w:w w:val="98"/>
              </w:rPr>
              <w:t xml:space="preserve">14 860 USD</w:t>
            </w:r>
          </w:p>
        </w:tc>
        <w:tc>
          <w:tcPr>
            <w:tcW w:w="2540" w:type="dxa"/>
            <w:vAlign w:val="bottom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208 240 USD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10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Średni zwrot w każdym roku</w:t>
            </w:r>
          </w:p>
        </w:tc>
        <w:tc>
          <w:tcPr>
            <w:tcW w:w="2300" w:type="dxa"/>
            <w:vAlign w:val="bottom"/>
            <w:tcBorders>
              <w:right w:val="single" w:sz="8" w:color="002453"/>
            </w:tcBorders>
            <w:vMerge w:val="restart"/>
          </w:tcPr>
          <w:p>
            <w:pPr xmlns:w="http://schemas.openxmlformats.org/wordprocessingml/2006/main">
              <w:jc w:val="right"/>
              <w:ind w:right="8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48,62%</w:t>
            </w:r>
          </w:p>
        </w:tc>
        <w:tc>
          <w:tcPr>
            <w:tcW w:w="254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9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83,53%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10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right w:val="single" w:sz="8" w:color="002453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10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4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Korzystne³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10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Co możesz odzyskać po kosztach</w:t>
            </w:r>
          </w:p>
        </w:tc>
        <w:tc>
          <w:tcPr>
            <w:tcW w:w="230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  <w:w w:val="99"/>
              </w:rPr>
              <w:t xml:space="preserve">169 450 USD</w:t>
            </w:r>
          </w:p>
        </w:tc>
        <w:tc>
          <w:tcPr>
            <w:tcW w:w="2540" w:type="dxa"/>
            <w:vAlign w:val="bottom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1 569 050 USD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10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Średni zwrot w każdym roku</w:t>
            </w:r>
          </w:p>
        </w:tc>
        <w:tc>
          <w:tcPr>
            <w:tcW w:w="2300" w:type="dxa"/>
            <w:vAlign w:val="bottom"/>
            <w:tcBorders>
              <w:right w:val="single" w:sz="8" w:color="002453"/>
            </w:tcBorders>
            <w:vMerge w:val="restart"/>
          </w:tcPr>
          <w:p>
            <w:pPr xmlns:w="http://schemas.openxmlformats.org/wordprocessingml/2006/main">
              <w:jc w:val="right"/>
              <w:ind w:right="7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1594,53%</w:t>
            </w:r>
          </w:p>
        </w:tc>
        <w:tc>
          <w:tcPr>
            <w:tcW w:w="254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9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174,87%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10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right w:val="single" w:sz="8" w:color="002453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10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54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 w:right="4200" w:firstLine="4"/>
        <w:spacing w:after="0" w:line="242" w:lineRule="auto"/>
        <w:tabs>
          <w:tab w:leader="none" w:pos="99" w:val="left"/>
        </w:tabs>
        <w:numPr>
          <w:ilvl w:val="0"/>
          <w:numId w:val="2"/>
        </w:numPr>
        <w:rPr>
          <w:rFonts w:ascii="Arial" w:cs="Arial" w:eastAsia="Arial" w:hAnsi="Arial"/>
          <w:sz w:val="16"/>
          <w:szCs w:val="16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Taki scenariusz miał miejsce dla inwestycji między październikiem 2021 r. a październikiem 2023 r. ² Taki scenariusz miał miejsce dla inwestycji między październikiem 2013 r. a październikiem 2018 r. ³ Taki scenariusz miał miejsce dla inwestycji między marcem 2016 r. a marcem 2021 r.</w:t>
      </w:r>
    </w:p>
    <w:p>
      <w:pPr>
        <w:spacing w:after="0" w:line="13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2"/>
          <w:szCs w:val="22"/>
          <w:b w:val="1"/>
          <w:bCs w:val="1"/>
          <w:color w:val="auto"/>
        </w:rPr>
        <w:t xml:space="preserve">Co się stanie, jeśli Invesco Digital Markets plc nie będzie w stanie wypłacić?</w:t>
      </w:r>
    </w:p>
    <w:p>
      <w:pPr>
        <w:spacing w:after="0" w:line="9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 w:right="40"/>
        <w:spacing w:after="0" w:line="27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Emitent jest spółką celową, która nie prowadzi własnej działalności gospodarczej.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W przypadku niewykonania zobowiązania przez Emitenta, wszelkie roszczenia wobec Emitenta będą zaspokojone w kolejności pierwszeństwa płatności określonej w warunkach produktu.</w:t>
      </w:r>
    </w:p>
    <w:p>
      <w:pPr>
        <w:spacing w:after="0" w:line="7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 w:right="40"/>
        <w:spacing w:after="0" w:line="27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Jeżeli wpływy netto z tytułu egzekucji zabezpieczonej nieruchomości związanej z produktem nie wystarczą do wywiązania się ze wszystkich zobowiązań i dokonania wszelkich płatności należnych z tytułu papierów wartościowych, zobowiązania Emitenta z tytułu tych papierów wartościowych będą ograniczone do wpływów netto z tytułu realizacji odpowiedniej zabezpieczonej nieruchomości.</w:t>
      </w:r>
    </w:p>
    <w:p>
      <w:pPr>
        <w:spacing w:after="0" w:line="7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 w:right="40"/>
        <w:spacing w:after="0" w:line="27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W takich okolicznościach możesz ponieść stratę, jeśli nie możesz zrealizować pełnej wartości swojej inwestycji.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Nie istnieje system rekompensat lub gwarancji, który mógłby skompensować całość lub część tej straty.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196850</wp:posOffset>
                </wp:positionV>
                <wp:extent cx="6840220" cy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.4pt,15.5pt" to="540pt,15.5pt" o:allowincell="f" strokecolor="#002453" strokeweight="0.72pt"/>
            </w:pict>
          </mc:Fallback>
        </mc:AlternateConten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2"/>
          <w:szCs w:val="22"/>
          <w:b w:val="1"/>
          <w:bCs w:val="1"/>
          <w:color w:val="auto"/>
        </w:rPr>
        <w:t xml:space="preserve">Jakie są koszty?</w:t>
      </w:r>
    </w:p>
    <w:p>
      <w:pPr>
        <w:spacing w:after="0" w:line="9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 w:right="40"/>
        <w:spacing w:after="0" w:line="27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Osoba doradzająca lub sprzedająca Ci ten produkt może naliczyć Ci inne koszty.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Jeśli tak, osoba ta przekaże Ci informacje o tych kosztach i ich wpływie na Twoją inwestycję.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Koszty w czasie</w:t>
      </w:r>
    </w:p>
    <w:p>
      <w:pPr>
        <w:spacing w:after="0" w:line="9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 w:right="40"/>
        <w:spacing w:after="0" w:line="27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W tabelach przedstawiono kwoty pobrane z inwestycji w celu pokrycia różnych rodzajów kosztów.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Kwoty te zależą od tego, ile zainwestujesz, jak długo przechowujesz produkt i jak dobrze działa produkt.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Przedstawione tu kwoty są ilustracjami opartymi na przykładowej kwocie inwestycji i różnych możliwych okresach inwestycji.</w:t>
      </w:r>
    </w:p>
    <w:p>
      <w:pPr>
        <w:spacing w:after="0" w:line="7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 w:right="40"/>
        <w:spacing w:after="0" w:line="27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Założyliśmy, że w pierwszym roku otrzymasz kwotę, którą zainwestowałeś (0% rocznego zwrotu).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W odniesieniu do drugiego okresu utrzymywania funduszy założyliśmy, że fundusz działa zgodnie ze scenariuszem umiarkowanym, a inwestycja wynosi 10 000 USD.</w:t>
      </w:r>
    </w:p>
    <w:p>
      <w:pPr>
        <w:spacing w:after="0" w:line="175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top w:val="single" w:sz="8" w:color="002453"/>
              <w:right w:val="single" w:sz="8" w:color="002453"/>
            </w:tcBorders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EB6852"/>
              </w:rPr>
              <w:t xml:space="preserve">Inwestycje: 10 000 USD</w:t>
            </w:r>
          </w:p>
        </w:tc>
        <w:tc>
          <w:tcPr>
            <w:tcW w:w="2420" w:type="dxa"/>
            <w:vAlign w:val="bottom"/>
            <w:tcBorders>
              <w:top w:val="single" w:sz="8" w:color="002453"/>
              <w:right w:val="single" w:sz="8" w:color="002453"/>
            </w:tcBorders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EB6852"/>
              </w:rPr>
              <w:t xml:space="preserve">Jeśli wyjdziesz po 1 roku</w:t>
            </w:r>
          </w:p>
        </w:tc>
        <w:tc>
          <w:tcPr>
            <w:tcW w:w="2400" w:type="dxa"/>
            <w:vAlign w:val="bottom"/>
            <w:tcBorders>
              <w:top w:val="single" w:sz="8" w:color="002453"/>
            </w:tcBorders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EB6852"/>
              </w:rPr>
              <w:t xml:space="preserve">Wyjście z programu po 5 latach</w:t>
            </w:r>
          </w:p>
        </w:tc>
        <w:tc>
          <w:tcPr>
            <w:tcW w:w="40" w:type="dxa"/>
            <w:vAlign w:val="bottom"/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2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3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Koszty ogółem</w:t>
            </w:r>
          </w:p>
        </w:tc>
        <w:tc>
          <w:tcPr>
            <w:tcW w:w="242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  <w:w w:val="99"/>
              </w:rPr>
              <w:t xml:space="preserve">99 USD</w:t>
            </w:r>
          </w:p>
        </w:tc>
        <w:tc>
          <w:tcPr>
            <w:tcW w:w="2440" w:type="dxa"/>
            <w:vAlign w:val="bottom"/>
            <w:gridSpan w:val="3"/>
          </w:tcPr>
          <w:p>
            <w:pPr xmlns:w="http://schemas.openxmlformats.org/wordprocessingml/2006/main">
              <w:jc w:val="center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  <w:w w:val="91"/>
              </w:rPr>
              <w:t xml:space="preserve">7 841 USD</w:t>
            </w: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2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Roczny wpływ na koszty (*)</w:t>
            </w:r>
          </w:p>
        </w:tc>
        <w:tc>
          <w:tcPr>
            <w:tcW w:w="242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  <w:w w:val="76"/>
              </w:rPr>
              <w:t xml:space="preserve">1.0%</w:t>
            </w:r>
          </w:p>
        </w:tc>
        <w:tc>
          <w:tcPr>
            <w:tcW w:w="2400" w:type="dxa"/>
            <w:vAlign w:val="bottom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  <w:w w:val="76"/>
              </w:rPr>
              <w:t xml:space="preserve">1,4%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2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</w:tr>
    </w:tbl>
    <w:p>
      <w:pPr>
        <w:spacing w:after="0" w:line="7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 w:right="40" w:firstLine="6"/>
        <w:spacing w:after="0" w:line="248" w:lineRule="auto"/>
        <w:tabs>
          <w:tab w:leader="none" w:pos="298" w:val="left"/>
        </w:tabs>
        <w:numPr>
          <w:ilvl w:val="0"/>
          <w:numId w:val="3"/>
        </w:numPr>
        <w:rPr>
          <w:rFonts w:ascii="Arial" w:cs="Arial" w:eastAsia="Arial" w:hAnsi="Arial"/>
          <w:sz w:val="18"/>
          <w:szCs w:val="18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Pokazuje to, w jaki sposób koszty zmniejszają zwrot z inwestycji każdego roku w okresie utrzymywania.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Na przykład pokazuje to, że jeśli opuścisz zakład w zalecanym okresie utrzymywania, średni roczny zwrot z inwestycji wyniesie 84.9% przed kosztami i 83.5% po kosztach.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1181735</wp:posOffset>
                </wp:positionV>
                <wp:extent cx="6840220" cy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B4B4B4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.4pt,93.05pt" to="540pt,93.05pt" o:allowincell="f" strokecolor="#B4B4B4" strokeweight="0.9599pt"/>
            </w:pict>
          </mc:Fallback>
        </mc:AlternateConten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002453"/>
        </w:rPr>
        <w:t xml:space="preserve">Strona 2 z 3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000000"/>
        </w:rPr>
        <w:t xml:space="preserve"> 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000000"/>
        </w:rPr>
        <w:t xml:space="preserve">| Dokument zawierający kluczowe informacje 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000000"/>
        </w:rPr>
        <w:t xml:space="preserve">| 6 grudnia 2023</w:t>
      </w:r>
    </w:p>
    <w:p>
      <w:pPr>
        <w:sectPr>
          <w:pgSz w:w="11900" w:h="16840" w:orient="portrait"/>
          <w:cols w:equalWidth="0" w:num="1">
            <w:col w:w="10840"/>
          </w:cols>
          <w:pgMar w:left="540" w:top="401" w:right="520" w:bottom="0" w:gutter="0" w:footer="0" w:header="0"/>
        </w:sectPr>
      </w:pPr>
    </w:p>
    <w:bookmarkStart w:id="2" w:name="page3"/>
    <w:bookmarkEnd w:id="2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Invesco Physical Bitcoin, subfundusz Invesco Digital Markets plc - (XS2376095068)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50800</wp:posOffset>
                </wp:positionV>
                <wp:extent cx="6840220" cy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B4B4B4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4pt,4pt" to="539pt,4pt" o:allowincell="f" strokecolor="#B4B4B4" strokeweight="0.9599pt"/>
            </w:pict>
          </mc:Fallback>
        </mc:AlternateConten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2"/>
          <w:szCs w:val="22"/>
          <w:b w:val="1"/>
          <w:bCs w:val="1"/>
          <w:color w:val="auto"/>
        </w:rPr>
        <w:t xml:space="preserve">Struktura kosztów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67945</wp:posOffset>
                </wp:positionV>
                <wp:extent cx="6840855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8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5.35pt" to="538.85pt,5.35pt" o:allowincell="f" strokecolor="#002453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2937510</wp:posOffset>
                </wp:positionV>
                <wp:extent cx="6840855" cy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8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231.3pt" to="538.85pt,231.3pt" o:allowincell="f" strokecolor="#002453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5485765</wp:posOffset>
                </wp:positionH>
                <wp:positionV relativeFrom="paragraph">
                  <wp:posOffset>61595</wp:posOffset>
                </wp:positionV>
                <wp:extent cx="0" cy="309245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092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31.95pt,4.85pt" to="431.95pt,248.35pt" o:allowincell="f" strokecolor="#002453" strokeweight="0.9599pt"/>
            </w:pict>
          </mc:Fallback>
        </mc:AlternateContent>
      </w:r>
    </w:p>
    <w:p>
      <w:pPr>
        <w:spacing w:after="0" w:line="319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8"/>
        </w:trPr>
        <w:tc>
          <w:tcPr>
            <w:tcW w:w="8560" w:type="dxa"/>
            <w:vAlign w:val="bottom"/>
            <w:gridSpan w:val="2"/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EB6852"/>
              </w:rPr>
              <w:t xml:space="preserve">Jedneodoksztalcesuponentryororexit</w:t>
            </w:r>
          </w:p>
        </w:tc>
        <w:tc>
          <w:tcPr>
            <w:tcW w:w="2240" w:type="dxa"/>
            <w:vAlign w:val="bottom"/>
          </w:tcPr>
          <w:p>
            <w:pPr xmlns:w="http://schemas.openxmlformats.org/wordprocessingml/2006/main"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EB6852"/>
              </w:rPr>
              <w:t xml:space="preserve">Jeśli wyjdziesz po 1 roku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260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600" w:type="dxa"/>
            <w:vAlign w:val="bottom"/>
            <w:tcBorders>
              <w:right w:val="single" w:sz="8" w:color="002453"/>
            </w:tcBorders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Koszty wejścia</w:t>
            </w:r>
          </w:p>
        </w:tc>
        <w:tc>
          <w:tcPr>
            <w:tcW w:w="5960" w:type="dxa"/>
            <w:vAlign w:val="bottom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Nie pobieramy opłaty za wstęp na ten produkt, ale osoba sprzedająca</w:t>
            </w:r>
          </w:p>
        </w:tc>
        <w:tc>
          <w:tcPr>
            <w:tcW w:w="2240" w:type="dxa"/>
            <w:vAlign w:val="bottom"/>
            <w:vMerge w:val="restart"/>
          </w:tcPr>
          <w:p>
            <w:pPr xmlns:w="http://schemas.openxmlformats.org/wordprocessingml/2006/main"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0 USD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600" w:type="dxa"/>
            <w:vAlign w:val="bottom"/>
            <w:tcBorders>
              <w:right w:val="single" w:sz="8" w:color="002453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960" w:type="dxa"/>
            <w:vAlign w:val="bottom"/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Produkt może to zrobić.</w:t>
            </w:r>
          </w:p>
        </w:tc>
        <w:tc>
          <w:tcPr>
            <w:tcW w:w="2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60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9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60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2600" w:type="dxa"/>
            <w:vAlign w:val="bottom"/>
            <w:tcBorders>
              <w:right w:val="single" w:sz="8" w:color="002453"/>
            </w:tcBorders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Koszty wyjścia</w:t>
            </w:r>
          </w:p>
        </w:tc>
        <w:tc>
          <w:tcPr>
            <w:tcW w:w="5960" w:type="dxa"/>
            <w:vAlign w:val="bottom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Nie pobieramy opłaty za wyjście z tego produktu, ale osoba sprzedająca</w:t>
            </w:r>
          </w:p>
        </w:tc>
        <w:tc>
          <w:tcPr>
            <w:tcW w:w="2240" w:type="dxa"/>
            <w:vAlign w:val="bottom"/>
            <w:vMerge w:val="restart"/>
          </w:tcPr>
          <w:p>
            <w:pPr xmlns:w="http://schemas.openxmlformats.org/wordprocessingml/2006/main"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0 USD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600" w:type="dxa"/>
            <w:vAlign w:val="bottom"/>
            <w:tcBorders>
              <w:right w:val="single" w:sz="8" w:color="002453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960" w:type="dxa"/>
            <w:vAlign w:val="bottom"/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Produkt może to zrobić.</w:t>
            </w:r>
          </w:p>
        </w:tc>
        <w:tc>
          <w:tcPr>
            <w:tcW w:w="2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60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9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60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15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8520" w:type="dxa"/>
            <w:vAlign w:val="bottom"/>
            <w:gridSpan w:val="2"/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EB6852"/>
              </w:rPr>
              <w:t xml:space="preserve">Koszty bieżące ponoszone każdego roku</w:t>
            </w:r>
          </w:p>
        </w:tc>
        <w:tc>
          <w:tcPr>
            <w:tcW w:w="2280" w:type="dxa"/>
            <w:vAlign w:val="bottom"/>
          </w:tcPr>
          <w:p>
            <w:pPr xmlns:w="http://schemas.openxmlformats.org/wordprocessingml/2006/main"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EB6852"/>
              </w:rPr>
              <w:t xml:space="preserve">Jeśli wyjdziesz po 1 roku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60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92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8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5"/>
        </w:trPr>
        <w:tc>
          <w:tcPr>
            <w:tcW w:w="260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Opłaty za zarządzanie i inne</w:t>
            </w:r>
          </w:p>
        </w:tc>
        <w:tc>
          <w:tcPr>
            <w:tcW w:w="5920" w:type="dxa"/>
            <w:vAlign w:val="bottom"/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0.99% wartości inwestycji rocznie.</w:t>
            </w: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 Jest to szacunek oparty na</w:t>
            </w:r>
          </w:p>
        </w:tc>
        <w:tc>
          <w:tcPr>
            <w:tcW w:w="2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2600" w:type="dxa"/>
            <w:vAlign w:val="bottom"/>
            <w:tcBorders>
              <w:right w:val="single" w:sz="8" w:color="002453"/>
            </w:tcBorders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administracyjne lub operacyjne</w:t>
            </w:r>
          </w:p>
        </w:tc>
        <w:tc>
          <w:tcPr>
            <w:tcW w:w="592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80" w:type="dxa"/>
            <w:vAlign w:val="bottom"/>
            <w:vMerge w:val="restart"/>
          </w:tcPr>
          <w:p>
            <w:pPr xmlns:w="http://schemas.openxmlformats.org/wordprocessingml/2006/main"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99 USD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600" w:type="dxa"/>
            <w:vAlign w:val="bottom"/>
            <w:tcBorders>
              <w:right w:val="single" w:sz="8" w:color="002453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920" w:type="dxa"/>
            <w:vAlign w:val="bottom"/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rzeczywiste koszty w ciągu ostatniego roku.</w:t>
            </w:r>
          </w:p>
        </w:tc>
        <w:tc>
          <w:tcPr>
            <w:tcW w:w="22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2600" w:type="dxa"/>
            <w:vAlign w:val="bottom"/>
            <w:tcBorders>
              <w:right w:val="single" w:sz="8" w:color="002453"/>
            </w:tcBorders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koszty</w:t>
            </w:r>
          </w:p>
        </w:tc>
        <w:tc>
          <w:tcPr>
            <w:tcW w:w="59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600" w:type="dxa"/>
            <w:vAlign w:val="bottom"/>
            <w:tcBorders>
              <w:right w:val="single" w:sz="8" w:color="002453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60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92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8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4"/>
        </w:trPr>
        <w:tc>
          <w:tcPr>
            <w:tcW w:w="2600" w:type="dxa"/>
            <w:vAlign w:val="bottom"/>
            <w:tcBorders>
              <w:right w:val="single" w:sz="8" w:color="002453"/>
            </w:tcBorders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Koszty transakcyjne</w:t>
            </w:r>
          </w:p>
        </w:tc>
        <w:tc>
          <w:tcPr>
            <w:tcW w:w="5920" w:type="dxa"/>
            <w:vAlign w:val="bottom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Nie pobieramy kosztów transakcyjnych za zakup i sprzedaż instrumentu bazowego</w:t>
            </w:r>
          </w:p>
        </w:tc>
        <w:tc>
          <w:tcPr>
            <w:tcW w:w="2280" w:type="dxa"/>
            <w:vAlign w:val="bottom"/>
            <w:vMerge w:val="restart"/>
          </w:tcPr>
          <w:p>
            <w:pPr xmlns:w="http://schemas.openxmlformats.org/wordprocessingml/2006/main"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0 USD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2600" w:type="dxa"/>
            <w:vAlign w:val="bottom"/>
            <w:tcBorders>
              <w:right w:val="single" w:sz="8" w:color="002453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920" w:type="dxa"/>
            <w:vAlign w:val="bottom"/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inwestycji w produkt.</w:t>
            </w:r>
          </w:p>
        </w:tc>
        <w:tc>
          <w:tcPr>
            <w:tcW w:w="22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60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92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60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92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8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4"/>
        </w:trPr>
        <w:tc>
          <w:tcPr>
            <w:tcW w:w="8520" w:type="dxa"/>
            <w:vAlign w:val="bottom"/>
            <w:gridSpan w:val="2"/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EB6852"/>
              </w:rPr>
              <w:t xml:space="preserve">Koszty uboczne ponoszone na określonych warunkach</w:t>
            </w:r>
          </w:p>
        </w:tc>
        <w:tc>
          <w:tcPr>
            <w:tcW w:w="2280" w:type="dxa"/>
            <w:vAlign w:val="bottom"/>
          </w:tcPr>
          <w:p>
            <w:pPr xmlns:w="http://schemas.openxmlformats.org/wordprocessingml/2006/main"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EB6852"/>
              </w:rPr>
              <w:t xml:space="preserve">Jeśli wyjdziesz po 1 roku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1645285</wp:posOffset>
                </wp:positionH>
                <wp:positionV relativeFrom="paragraph">
                  <wp:posOffset>135255</wp:posOffset>
                </wp:positionV>
                <wp:extent cx="0" cy="22225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222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29.55pt,10.65pt" to="129.55pt,28.15pt" o:allowincell="f" strokecolor="#002453" strokeweight="0.9599pt"/>
            </w:pict>
          </mc:Fallback>
        </mc:AlternateContent>
      </w:r>
    </w:p>
    <w:p>
      <w:pPr>
        <w:sectPr>
          <w:pgSz w:w="11900" w:h="16840" w:orient="portrait"/>
          <w:cols w:equalWidth="0" w:num="1">
            <w:col w:w="10780"/>
          </w:cols>
          <w:pgMar w:left="560" w:top="401" w:right="560" w:bottom="0" w:gutter="0" w:footer="0" w:header="0"/>
        </w:sectPr>
      </w:pPr>
    </w:p>
    <w:p>
      <w:pPr>
        <w:spacing w:after="0" w:line="29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Opłaty za wyniki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27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Brak opłaty za wydajność dla tego produktu.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-1758950</wp:posOffset>
                </wp:positionH>
                <wp:positionV relativeFrom="paragraph">
                  <wp:posOffset>48260</wp:posOffset>
                </wp:positionV>
                <wp:extent cx="6849745" cy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97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" o:spid="_x0000_s104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138.4999pt,3.8pt" to="400.85pt,3.8pt" o:allowincell="f" strokecolor="#002453" strokeweight="0.96pt"/>
            </w:pict>
          </mc:Fallback>
        </mc:AlternateConten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27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0 USD</w:t>
      </w:r>
    </w:p>
    <w:p>
      <w:pPr>
        <w:spacing w:after="0" w:line="207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3">
            <w:col w:w="2040" w:space="720"/>
            <w:col w:w="5320" w:space="720"/>
            <w:col w:w="1980"/>
          </w:cols>
          <w:pgMar w:left="560" w:top="401" w:right="560" w:bottom="0" w:gutter="0" w:footer="0" w:header="0"/>
          <w:type w:val="continuous"/>
        </w:sectPr>
      </w:pPr>
    </w:p>
    <w:p>
      <w:pPr>
        <w:spacing w:after="0" w:line="13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2"/>
          <w:szCs w:val="22"/>
          <w:b w:val="1"/>
          <w:bCs w:val="1"/>
          <w:color w:val="auto"/>
        </w:rPr>
        <w:t xml:space="preserve">Jak długo powinienem go trzymać i czy mogę wcześnie zabrać pieniądze?</w:t>
      </w:r>
    </w:p>
    <w:p>
      <w:pPr>
        <w:spacing w:after="0" w:line="10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auto"/>
        </w:rPr>
        <w:t xml:space="preserve">Zalecany okres przechowywania: 5 lat</w:t>
      </w:r>
    </w:p>
    <w:p>
      <w:pPr>
        <w:spacing w:after="0" w:line="13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7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Ten produkt nie ma wymaganego minimalnego okresu przechowywania.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Możesz sprzedać swoje udziały w produkcie, bez ponoszenia kar, w dowolnym dniu, w którym banki komercyjne są ogólnie otwarte dla biznesu w Londynie.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Rynki kryptowalut nie zamykają się, więc nagłe wahania cen mogą wystąpić w każdej chwili.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W wyjątkowych sytuacjach rynkowych lub w przypadku problemów technicznych kupno lub sprzedaż produktu może być czasowo utrudnione lub niemożliwe.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195580</wp:posOffset>
                </wp:positionV>
                <wp:extent cx="6840220" cy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4pt,15.4pt" to="539pt,15.4pt" o:allowincell="f" strokecolor="#002453" strokeweight="0.72pt"/>
            </w:pict>
          </mc:Fallback>
        </mc:AlternateConten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2"/>
          <w:szCs w:val="22"/>
          <w:b w:val="1"/>
          <w:bCs w:val="1"/>
          <w:color w:val="auto"/>
        </w:rPr>
        <w:t xml:space="preserve">Jak mogę złożyć skargę?</w:t>
      </w:r>
    </w:p>
    <w:p>
      <w:pPr>
        <w:spacing w:after="0" w:line="9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7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W przypadku jakichkolwiek reklamacji dotyczących produktu lub postępowania Emitenta tego produktu lub osoby doradzającej lub sprzedającej produkt, możesz złożyć reklamację na jeden z trzech sposobów: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40" w:hanging="236"/>
        <w:spacing w:after="0"/>
        <w:tabs>
          <w:tab w:leader="none" w:pos="240" w:val="left"/>
        </w:tabs>
        <w:numPr>
          <w:ilvl w:val="0"/>
          <w:numId w:val="4"/>
        </w:numPr>
        <w:rPr>
          <w:rFonts w:ascii="Arial" w:cs="Arial" w:eastAsia="Arial" w:hAnsi="Arial"/>
          <w:sz w:val="18"/>
          <w:szCs w:val="18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Możesz skontaktować się z nami telefonicznie pod numerem +44 020 3370 1100, a my zapiszemy Twoją reklamację i wyjaśnimy, co zrobić.</w:t>
      </w:r>
    </w:p>
    <w:p>
      <w:pPr>
        <w:spacing w:after="0" w:line="33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 xmlns:w="http://schemas.openxmlformats.org/wordprocessingml/2006/main">
        <w:ind w:left="260" w:hanging="256"/>
        <w:spacing w:after="0"/>
        <w:tabs>
          <w:tab w:leader="none" w:pos="260" w:val="left"/>
        </w:tabs>
        <w:numPr>
          <w:ilvl w:val="0"/>
          <w:numId w:val="4"/>
        </w:numPr>
        <w:rPr>
          <w:rFonts w:ascii="Arial" w:cs="Arial" w:eastAsia="Arial" w:hAnsi="Arial"/>
          <w:sz w:val="18"/>
          <w:szCs w:val="18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Reklamację możesz zarejestrować za pośrednictwem poczty elektronicznej na stronie </w:t>
      </w:r>
      <w:r>
        <w:rPr xmlns:w="http://schemas.openxmlformats.org/wordprocessingml/2006/main">
          <w:rFonts w:ascii="Arial" w:cs="Arial" w:eastAsia="Arial" w:hAnsi="Arial"/>
          <w:sz w:val="18"/>
          <w:szCs w:val="18"/>
          <w:u w:val="single" w:color="auto"/>
          <w:color w:val="0000FF"/>
        </w:rPr>
        <w:t xml:space="preserve">investorqueries@invesco.com</w:t>
      </w:r>
    </w:p>
    <w:p>
      <w:pPr>
        <w:spacing w:after="0" w:line="33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 xmlns:w="http://schemas.openxmlformats.org/wordprocessingml/2006/main">
        <w:ind w:left="280" w:hanging="276"/>
        <w:spacing w:after="0"/>
        <w:tabs>
          <w:tab w:leader="none" w:pos="280" w:val="left"/>
        </w:tabs>
        <w:numPr>
          <w:ilvl w:val="0"/>
          <w:numId w:val="4"/>
        </w:numPr>
        <w:rPr>
          <w:rFonts w:ascii="Arial" w:cs="Arial" w:eastAsia="Arial" w:hAnsi="Arial"/>
          <w:sz w:val="18"/>
          <w:szCs w:val="18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Skargę można przesłać na piśmie do Kierownika Działu Prawnego ETF, Invesco, 4345 Portman Squ are, London, W1H 6LY,</w:t>
      </w:r>
    </w:p>
    <w:p>
      <w:pPr>
        <w:spacing w:after="0" w:line="33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 xmlns:w="http://schemas.openxmlformats.org/wordprocessingml/2006/main">
        <w:spacing w:after="0"/>
        <w:rPr>
          <w:rFonts w:ascii="Arial" w:cs="Arial" w:eastAsia="Arial" w:hAnsi="Arial"/>
          <w:sz w:val="18"/>
          <w:szCs w:val="18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UK.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216535</wp:posOffset>
                </wp:positionV>
                <wp:extent cx="6840220" cy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4pt,17.05pt" to="539pt,17.05pt" o:allowincell="f" strokecolor="#002453" strokeweight="0.72pt"/>
            </w:pict>
          </mc:Fallback>
        </mc:AlternateConten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2"/>
          <w:szCs w:val="22"/>
          <w:b w:val="1"/>
          <w:bCs w:val="1"/>
          <w:color w:val="auto"/>
        </w:rPr>
        <w:t xml:space="preserve">Inne istotne informacje</w:t>
      </w:r>
    </w:p>
    <w:p>
      <w:pPr>
        <w:spacing w:after="0" w:line="9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7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auto"/>
        </w:rPr>
        <w:t xml:space="preserve">Informacje dodatkowe: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Jesteśmy zobowiązani do przekazania dalszych informacji, takich jak prospekt emisyjny, najnowszy raport roczny i wszelkie późniejsze sprawozdania okresowe.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Te dokumenty i inne praktyczne informacje są dostępne bezpłatnie na stronie</w:t>
      </w:r>
      <w:r>
        <w:rPr xmlns:w="http://schemas.openxmlformats.org/wordprocessingml/2006/main">
          <w:rFonts w:ascii="Arial" w:cs="Arial" w:eastAsia="Arial" w:hAnsi="Arial"/>
          <w:sz w:val="18"/>
          <w:szCs w:val="18"/>
          <w:u w:val="single" w:color="auto"/>
          <w:color w:val="0000FF"/>
        </w:rPr>
        <w:t xml:space="preserve"> etf.invesco.com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000000"/>
        </w:rPr>
        <w:t xml:space="preserve"> (wybierz swój kraj i przejdź do Biblioteki).</w:t>
      </w:r>
    </w:p>
    <w:p>
      <w:pPr>
        <w:spacing w:after="0" w:line="7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7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auto"/>
        </w:rPr>
        <w:t xml:space="preserve">Wydajność w przeszłości: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Na naszej stronie internetowej pod adresem </w:t>
      </w:r>
      <w:r>
        <w:rPr xmlns:w="http://schemas.openxmlformats.org/wordprocessingml/2006/main">
          <w:rFonts w:ascii="Arial" w:cs="Arial" w:eastAsia="Arial" w:hAnsi="Arial"/>
          <w:sz w:val="18"/>
          <w:szCs w:val="18"/>
          <w:u w:val="single" w:color="auto"/>
          <w:color w:val="0000FF"/>
        </w:rPr>
        <w:t xml:space="preserve">https://www.invesco.com/emea/en/priips.html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można obejrzeć wyniki z przeszłości dotyczące klasy akcji, która obejmuje okres od uruchomienia klasy akcji do maksymalnie 10 lat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.</w:t>
      </w:r>
    </w:p>
    <w:p>
      <w:pPr>
        <w:spacing w:after="0" w:line="7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7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auto"/>
        </w:rPr>
        <w:t xml:space="preserve">Poprzednie scenariusze wydajności: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Możesz obejrzeć poprzednie scenariusze wydajności klasy Share w ciągu ostatnich 12 miesięcy na naszej stronie internetowej pod adresem </w:t>
      </w:r>
      <w:r>
        <w:rPr xmlns:w="http://schemas.openxmlformats.org/wordprocessingml/2006/main">
          <w:rFonts w:ascii="Arial" w:cs="Arial" w:eastAsia="Arial" w:hAnsi="Arial"/>
          <w:sz w:val="18"/>
          <w:szCs w:val="18"/>
          <w:u w:val="single" w:color="auto"/>
          <w:color w:val="0000FF"/>
        </w:rPr>
        <w:t xml:space="preserve">https://www.invesco.com/emea/en/priips.html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1974850</wp:posOffset>
                </wp:positionV>
                <wp:extent cx="6840220" cy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B4B4B4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4pt,155.5pt" to="539pt,155.5pt" o:allowincell="f" strokecolor="#B4B4B4" strokeweight="0.9599pt"/>
            </w:pict>
          </mc:Fallback>
        </mc:AlternateConten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002453"/>
        </w:rPr>
        <w:t xml:space="preserve">Strona 3 z 3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000000"/>
        </w:rPr>
        <w:t xml:space="preserve"> 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000000"/>
        </w:rPr>
        <w:t xml:space="preserve">| Dokument zawierający kluczowe informacje 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000000"/>
        </w:rPr>
        <w:t xml:space="preserve">| 6 grudnia 2023</w:t>
      </w:r>
    </w:p>
    <w:sectPr>
      <w:pgSz w:w="11900" w:h="16840" w:orient="portrait"/>
      <w:cols w:equalWidth="0" w:num="1">
        <w:col w:w="10780"/>
      </w:cols>
      <w:pgMar w:left="560" w:top="401" w:right="560" w:bottom="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3D08190"/>
    <w:multiLevelType w:val="hybridMultilevel"/>
    <w:lvl w:ilvl="0">
      <w:lvlJc w:val="left"/>
      <w:lvlText w:val=" "/>
      <w:numFmt w:val="bullet"/>
      <w:start w:val="1"/>
    </w:lvl>
  </w:abstractNum>
  <w:abstractNum w:abstractNumId="1">
    <w:nsid w:val="7D0571CB"/>
    <w:multiLevelType w:val="hybridMultilevel"/>
    <w:lvl w:ilvl="0">
      <w:lvlJc w:val="left"/>
      <w:lvlText w:val="¹"/>
      <w:numFmt w:val="bullet"/>
      <w:start w:val="1"/>
    </w:lvl>
  </w:abstractNum>
  <w:abstractNum w:abstractNumId="2">
    <w:nsid w:val="57619860"/>
    <w:multiLevelType w:val="hybridMultilevel"/>
    <w:lvl w:ilvl="0">
      <w:lvlJc w:val="left"/>
      <w:lvlText w:val="(*)"/>
      <w:numFmt w:val="bullet"/>
      <w:start w:val="1"/>
    </w:lvl>
  </w:abstractNum>
  <w:abstractNum w:abstractNumId="3">
    <w:nsid w:val="5FB8CF95"/>
    <w:multiLevelType w:val="hybridMultilevel"/>
    <w:lvl w:ilvl="0">
      <w:lvlJc w:val="left"/>
      <w:lvlText w:val="(%1)"/>
      <w:numFmt w:val="decimal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3" Type="http://schemas.openxmlformats.org/officeDocument/2006/relationships/image" Target="media/image2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2024-05-21T08:59:10Z</dcterms:created>
  <dcterms:modified xsi:type="dcterms:W3CDTF">2024-05-21T08:59:10Z</dcterms:modified>
</cp:coreProperties>
</file>