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6"/>
              </w:rPr>
              <w:t xml:space="preserve">Μετοχές US Total Bond ΟΣΕΚΑ ETF</w:t>
            </w:r>
          </w:p>
        </w:tc>
        <w:tc>
          <w:tcPr>
            <w:tcW w:w="2500" w:type="dxa"/>
            <w:vAlign w:val="bottom"/>
          </w:tcPr>
          <w:p>
            <w:pPr xmlns:w="http://schemas.openxmlformats.org/wordprocessingml/2006/main">
              <w:ind w:left="44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9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II plc</w:t>
            </w:r>
          </w:p>
        </w:tc>
        <w:tc>
          <w:tcPr>
            <w:tcW w:w="2500" w:type="dxa"/>
            <w:vAlign w:val="bottom"/>
          </w:tcPr>
          <w:p>
            <w:pPr xmlns:w="http://schemas.openxmlformats.org/wordprocessingml/2006/main">
              <w:ind w:left="44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IE00BYXYYM63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900" w:type="dxa"/>
            <w:vAlign w:val="bottom"/>
            <w:vMerge w:val="continue"/>
          </w:tcPr>
          <w:p>
            <w:pPr>
              <w:spacing w:after="0"/>
              <w:rPr>
                <w:sz w:val="9"/>
                <w:szCs w:val="9"/>
                <w:color w:val="auto"/>
              </w:rPr>
            </w:pPr>
          </w:p>
        </w:tc>
        <w:tc>
          <w:tcPr>
            <w:tcW w:w="25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από τις επενδύσεις των Ταμείων, που αντικατοπτρίζει την απόδοση του δείκτη αναφοράς του Bloomberg Barclays US Aggregated Bond Index (δείκτης αναφοράς).</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μέσω του Ταμείου, τελεί υπό παθητική διαχείριση και αποσκοπεί στην επένδυση, στο μέτρο του δυνατού και εφαρμόσιμου, σε τίτλους σταθερού εισοδήματος (όπως ομόλογα) που συνθέτουν τον Δείκτη και συμμορφώνονται με τις απαιτήσεις πιστοληπτικής διαβάθμισης.</w:t>
      </w:r>
      <w:r>
        <w:rPr xmlns:w="http://schemas.openxmlformats.org/wordprocessingml/2006/main">
          <w:rFonts w:ascii="Arial" w:cs="Arial" w:eastAsia="Arial" w:hAnsi="Arial"/>
          <w:sz w:val="16"/>
          <w:szCs w:val="16"/>
          <w:color w:val="auto"/>
        </w:rPr>
        <w:t xml:space="preserve"> Αν υποβαθμιστούν οι πιστοληπτικές αξιολογήσεις των τίτλων FI, το Ταμείο μπορεί να συνεχίσει να τις διατηρεί έως ότου παύσουν να αποτελούν μέρος του δείκτη και είναι πρακτικά δυνατό να τις πωλήσει.</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της φορολογητέας αγοράς ομολόγων σε δολάρια ΗΠΑ.</w:t>
      </w:r>
      <w:r>
        <w:rPr xmlns:w="http://schemas.openxmlformats.org/wordprocessingml/2006/main">
          <w:rFonts w:ascii="Arial" w:cs="Arial" w:eastAsia="Arial" w:hAnsi="Arial"/>
          <w:sz w:val="16"/>
          <w:szCs w:val="16"/>
          <w:color w:val="auto"/>
        </w:rPr>
        <w:t xml:space="preserve"> Οι τίτλοι FI μπορούν να εκδίδονται από το Υπουργείο Οικονομικών των ΗΠΑ, κυβερνητικούς οργανισμούς και εταιρείες και μπορεί να περιλαμβάνουν τίτλους που εξασφαλίζονται από περιουσιακά στοιχεία, τίτλους που εξασφαλίζονται από εμπορικά ενυπόθηκα δάνεια και τίτλους που εξασφαλίζονται από ενυπόθηκα στεγαστικά δάνεια (δηλ. χρηματοπιστωτικούς τίτλους που εξασφαλίζονται από ταμειακές ροές από χρεόγραφα).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Οι τίτλοι FI θα είναι εκφρασμένοι σε δολάρια ΗΠΑ, θα πληρώνουν εισόδημα σύμφωνα με ένα σταθερό επιτόκιο και, κατά τη στιγμή της συμπερίληψης στο δείκτη, θα είναι επενδυτική βαθμίδα (δηλαδή πληρούν ένα καθορισμένο επίπεδο φερεγγυότητας).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Για τη συμπερίληψη στο δείκτη λαμβάνονται υπόψη μόνο τα ομόλογα με ελάχιστο εναπομένον χρόνο έως τη λήξη ενός έτους.</w:t>
      </w:r>
    </w:p>
    <w:p>
      <w:pPr>
        <w:spacing w:after="0" w:line="28" w:lineRule="exact"/>
        <w:rPr>
          <w:sz w:val="24"/>
          <w:szCs w:val="24"/>
          <w:color w:val="auto"/>
        </w:rPr>
      </w:pPr>
    </w:p>
    <w:p>
      <w:pPr xmlns:w="http://schemas.openxmlformats.org/wordprocessingml/2006/main">
        <w:ind w:left="140" w:righ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 δείκτη του.</w:t>
      </w:r>
      <w:r>
        <w:rPr xmlns:w="http://schemas.openxmlformats.org/wordprocessingml/2006/main">
          <w:rFonts w:ascii="Arial" w:cs="Arial" w:eastAsia="Arial" w:hAnsi="Arial"/>
          <w:sz w:val="16"/>
          <w:szCs w:val="16"/>
          <w:color w:val="auto"/>
        </w:rPr>
        <w:t xml:space="preserve"> Αυτά μπορεί να περιλαμβάνουν τη στρατηγική επιλογή ορισμένων τίτλων που αποτελούν τον δείκτη ή άλλων τίτλων FI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Αυτές μπορεί επίσης να περιλαμβάνουν τη χρήση παράγωγων μέσων (ΑΞΕ) (δηλαδή επενδύσεις οι τιμές των οποίων βασίζονται σε ένα ή περισσότερα υποκείμενα περιουσιακά στοιχεία).</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1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τρεις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28"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 πιστωτικός κίνδυνος, οι μεταβολές των επιτοκίων ή/και οι αθετήσεις υποχρεώσεων του εκδότη θα έχουν σημαντικό αντίκτυπο στην απόδοση των τίτλων σταθερού εισοδήματος.</w:t>
      </w:r>
      <w:r>
        <w:rPr xmlns:w="http://schemas.openxmlformats.org/wordprocessingml/2006/main">
          <w:rFonts w:ascii="Arial" w:cs="Arial" w:eastAsia="Arial" w:hAnsi="Arial"/>
          <w:sz w:val="14"/>
          <w:szCs w:val="14"/>
          <w:color w:val="auto"/>
        </w:rPr>
        <w:t xml:space="preserve"> Ενδεχόμενες ή πραγματικές υποβαθμίσεις της πιστοληπτικής ικανότητας μπορεί να αυξήσουν το επίπεδο του κινδύνου.</w:t>
      </w:r>
    </w:p>
    <w:p>
      <w:pPr>
        <w:spacing w:after="0" w:line="1" w:lineRule="exact"/>
        <w:rPr>
          <w:rFonts w:ascii="Arial" w:cs="Arial" w:eastAsia="Arial" w:hAnsi="Arial"/>
          <w:sz w:val="33"/>
          <w:szCs w:val="33"/>
          <w:color w:val="auto"/>
          <w:vertAlign w:val="subscript"/>
        </w:rPr>
      </w:pPr>
    </w:p>
    <w:p>
      <w:pPr xmlns:w="http://schemas.openxmlformats.org/wordprocessingml/2006/main">
        <w:ind w:left="160" w:hanging="159"/>
        <w:spacing w:after="0" w:line="186" w:lineRule="auto"/>
        <w:tabs>
          <w:tab w:leader="none" w:pos="160" w:val="left"/>
        </w:tabs>
        <w:numPr>
          <w:ilvl w:val="0"/>
          <w:numId w:val="1"/>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Οι τίτλοι που εξασφαλίζονται από περιουσιακά στοιχεία και οι τίτλοι που εξασφαλίζονται από ενυπόθηκα στεγαστικά δάνεια υπόκεινται στην</w:t>
      </w:r>
    </w:p>
    <w:p>
      <w:pPr>
        <w:spacing w:after="0" w:line="55" w:lineRule="exact"/>
        <w:rPr>
          <w:sz w:val="24"/>
          <w:szCs w:val="24"/>
          <w:color w:val="auto"/>
        </w:rPr>
      </w:pPr>
    </w:p>
    <w:p>
      <w:pPr xmlns:w="http://schemas.openxmlformats.org/wordprocessingml/2006/main">
        <w:ind w:left="160" w:right="14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οι ίδιοι κίνδυνοι που περιγράφονται για τους τίτλους σταθερού εισοδήματος.</w:t>
      </w:r>
      <w:r>
        <w:rPr xmlns:w="http://schemas.openxmlformats.org/wordprocessingml/2006/main">
          <w:rFonts w:ascii="Arial" w:cs="Arial" w:eastAsia="Arial" w:hAnsi="Arial"/>
          <w:sz w:val="16"/>
          <w:szCs w:val="16"/>
          <w:color w:val="auto"/>
        </w:rPr>
        <w:t xml:space="preserve"> Τα μέσα αυτά μπορεί να υπόκεινται σε «κίνδυνο ρευστότητας», να έχουν υψηλά επίπεδα δανεισμού και να μην αντανακλούν πλήρως την αξία των υποκείμενων περιουσιακών στοιχείων.</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160" w:hanging="159"/>
        <w:spacing w:after="0" w:line="181" w:lineRule="auto"/>
        <w:tabs>
          <w:tab w:leader="none" w:pos="16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Πιστωτικός κίνδυνος:</w:t>
      </w:r>
      <w:r>
        <w:rPr xmlns:w="http://schemas.openxmlformats.org/wordprocessingml/2006/main">
          <w:rFonts w:ascii="Arial" w:cs="Arial" w:eastAsia="Arial" w:hAnsi="Arial"/>
          <w:sz w:val="15"/>
          <w:szCs w:val="15"/>
          <w:color w:val="auto"/>
        </w:rPr>
        <w:t xml:space="preserve"> Ο εκδότης ενός χρηματοοικονομικού περιουσιακού στοιχείου που διακρατείται στο Ταμείο δεν μπορεί να καταβάλει εισόδημα ή να αποπληρώσει κεφάλαιο στο Ταμείο όταν είναι ληξιπρόθεσμο.</w:t>
      </w:r>
    </w:p>
    <w:p>
      <w:pPr>
        <w:spacing w:after="0" w:line="30" w:lineRule="exact"/>
        <w:rPr>
          <w:rFonts w:ascii="Arial" w:cs="Arial" w:eastAsia="Arial" w:hAnsi="Arial"/>
          <w:sz w:val="35"/>
          <w:szCs w:val="35"/>
          <w:color w:val="auto"/>
          <w:vertAlign w:val="subscript"/>
        </w:rPr>
      </w:pPr>
    </w:p>
    <w:p>
      <w:pPr xmlns:w="http://schemas.openxmlformats.org/wordprocessingml/2006/main">
        <w:ind w:left="160" w:right="60" w:hanging="159"/>
        <w:spacing w:after="0" w:line="181" w:lineRule="auto"/>
        <w:tabs>
          <w:tab w:leader="none" w:pos="16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200" w:lineRule="exact"/>
        <w:rPr>
          <w:sz w:val="24"/>
          <w:szCs w:val="24"/>
          <w:color w:val="auto"/>
        </w:rPr>
      </w:pPr>
    </w:p>
    <w:p>
      <w:pPr>
        <w:sectPr>
          <w:pgSz w:w="11900" w:h="16838" w:orient="portrait"/>
          <w:cols w:equalWidth="0" w:num="2">
            <w:col w:w="5200" w:space="36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0,25%**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2011.</w:t>
      </w:r>
      <w:r>
        <w:rPr xmlns:w="http://schemas.openxmlformats.org/wordprocessingml/2006/main">
          <w:rFonts w:ascii="Arial" w:cs="Arial" w:eastAsia="Arial" w:hAnsi="Arial"/>
          <w:sz w:val="15"/>
          <w:szCs w:val="15"/>
          <w:color w:val="auto"/>
        </w:rPr>
        <w:t xml:space="preserve"> Η Share Class ξεκίνησε το 2017.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30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αναφοράς:Bloomberg Barclays US Aggregate Bond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116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-0,3</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8,4</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7,2</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-13,2</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8,7</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7,5</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-13,0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iShares II plc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υποκεφαλαίων στο πλαίσιο της iShares II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26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1C66D"/>
    <w:multiLevelType w:val="hybridMultilevel"/>
    <w:lvl w:ilvl="0">
      <w:lvlJc w:val="left"/>
      <w:lvlText w:val="-"/>
      <w:numFmt w:val="bullet"/>
      <w:start w:val="1"/>
    </w:lvl>
  </w:abstractNum>
  <w:abstractNum w:abstractNumId="1">
    <w:nsid w:val="3D4D9D08"/>
    <w:multiLevelType w:val="hybridMultilevel"/>
    <w:lvl w:ilvl="0">
      <w:lvlJc w:val="left"/>
      <w:lvlText w:val="-"/>
      <w:numFmt w:val="bullet"/>
      <w:start w:val="1"/>
    </w:lvl>
  </w:abstractNum>
  <w:abstractNum w:abstractNumId="2">
    <w:nsid w:val="372F7B6F"/>
    <w:multiLevelType w:val="hybridMultilevel"/>
    <w:lvl w:ilvl="0">
      <w:lvlJc w:val="left"/>
      <w:lvlText w:val="**"/>
      <w:numFmt w:val="bullet"/>
      <w:start w:val="1"/>
    </w:lvl>
  </w:abstractNum>
  <w:abstractNum w:abstractNumId="3">
    <w:nsid w:val="3758B48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jpe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jpe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jpeg"/><Relationship Id="rId51" Type="http://schemas.openxmlformats.org/officeDocument/2006/relationships/image" Target="media/image4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2024-05-20T14:17:45Z</dcterms:created>
  <dcterms:modified xsi:type="dcterms:W3CDTF">2024-05-20T14:17:45Z</dcterms:modified>
</cp:coreProperties>
</file>