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443230</wp:posOffset>
                </wp:positionH>
                <wp:positionV relativeFrom="page">
                  <wp:posOffset>372110</wp:posOffset>
                </wp:positionV>
                <wp:extent cx="694817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4817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34.9pt;margin-top:29.3pt;width:547.1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490855</wp:posOffset>
                </wp:positionH>
                <wp:positionV relativeFrom="page">
                  <wp:posOffset>372110</wp:posOffset>
                </wp:positionV>
                <wp:extent cx="685355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5355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38.65pt;margin-top:29.3pt;width:539.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368300</wp:posOffset>
                </wp:positionV>
                <wp:extent cx="696214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9pt" to="582.6pt,2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871220</wp:posOffset>
                </wp:positionV>
                <wp:extent cx="696214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68.6pt" to="582.6pt,68.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1746250</wp:posOffset>
                </wp:positionV>
                <wp:extent cx="696214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137.5pt" to="582.6pt,13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2961005</wp:posOffset>
                </wp:positionV>
                <wp:extent cx="696214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33.15pt" to="582.6pt,233.1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4501515</wp:posOffset>
                </wp:positionV>
                <wp:extent cx="696214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354.45pt" to="582.6pt,354.4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365125</wp:posOffset>
                </wp:positionV>
                <wp:extent cx="0" cy="859599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9599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28.75pt" to="34.65pt,705.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7395845</wp:posOffset>
                </wp:positionH>
                <wp:positionV relativeFrom="page">
                  <wp:posOffset>365125</wp:posOffset>
                </wp:positionV>
                <wp:extent cx="0" cy="859599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9599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2.35pt,28.75pt" to="582.35pt,705.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Επιλογές για το μέλλον (Σύντομη κλήση)</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-64135</wp:posOffset>
                </wp:positionH>
                <wp:positionV relativeFrom="paragraph">
                  <wp:posOffset>25400</wp:posOffset>
                </wp:positionV>
                <wp:extent cx="694753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47535" cy="868680"/>
                        </a:xfrm>
                        <a:prstGeom prst="rect">
                          <a:avLst/>
                        </a:prstGeom>
                        <a:solidFill>
                          <a:srgbClr val="9CC2E5"/>
                        </a:solidFill>
                      </wps:spPr>
                      <wps:bodyPr/>
                    </wps:wsp>
                  </a:graphicData>
                </a:graphic>
              </wp:anchor>
            </w:drawing>
          </mc:Choice>
          <mc:Fallback>
            <w:pict>
              <v:rect id="Shape 10" o:spid="_x0000_s1035" style="position:absolute;margin-left:-5.0499pt;margin-top:2pt;width:547.0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Επιλογή σύντομης κλήσης για συμβόλαια μελλοντικής εκπλήρωσης</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δικαιώματα προαίρεσης επί συμβολαίων μελλοντικής εκπλήρωσης (a/k/a "futures options").</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δικαιώματα προαίρεσης επί συμβολαίων μελλοντικής εκπλήρωσης είναι εισηγμένα και αποτελούν αντικείμενο διαπραγμάτευσης σε χρηματιστήρια συμβολαίων μελλοντικής εκπλήρωσης στις ΗΠΑ που είναι εγγεγραμμένα στην Επιτροπή Προθεσμιακών Συναλλαγών επί Εμπορευμάτων των ΗΠΑ ("CFTC") και εκδίδονται, εκκαθαρίζονται και διακανονίζονται από την OCC, έναν οργανισμό εκκαθάρισης παραγώγων που είναι εγγεγραμμένος στην CFTC.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τα χρηματιστήρια συμβολαίων μελλοντικής εκπλήρωσης στις ΗΠΑ, οι επενδυτές μπορούν να επισκεφθούν τον δικτυακό τόπο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ανταλλάσσουν δικαιώματα προαίρεσης συμβολαίων μελλοντικής εκπλήρωσης έως ότου διαβάσουν και κατανοήσουν το παρόν έγγραφο και τυχόν πρόσθετες γνωστοποιήσεις που παρέχει ο μεσίτης τους, η ουσία των οποίων μπορεί να περιλαμβάνει τη δήλωση γνωστοποίησης κινδύνου της Εθνικής Ένωσης Συμβολαίων Μελλοντικής Εκπλήρωσης ("NFA") </w:t>
      </w:r>
      <w:r>
        <w:rPr xmlns:w="http://schemas.openxmlformats.org/wordprocessingml/2006/main">
          <w:rFonts w:ascii="Calibri" w:cs="Calibri" w:eastAsia="Calibri" w:hAnsi="Calibri"/>
          <w:sz w:val="22"/>
          <w:szCs w:val="22"/>
          <w:u w:val="single" w:color="auto"/>
          <w:color w:val="auto"/>
        </w:rPr>
        <w:t xml:space="preserve">για συμβόλαια μελλοντικής εκπλήρωσης επί τίτλων,</w:t>
      </w:r>
      <w:r>
        <w:rPr xmlns:w="http://schemas.openxmlformats.org/wordprocessingml/2006/main">
          <w:rFonts w:ascii="Calibri" w:cs="Calibri" w:eastAsia="Calibri" w:hAnsi="Calibri"/>
          <w:sz w:val="22"/>
          <w:szCs w:val="22"/>
          <w:color w:val="auto"/>
        </w:rPr>
        <w:t xml:space="preserve"> το </w:t>
      </w:r>
      <w:r>
        <w:rPr xmlns:w="http://schemas.openxmlformats.org/wordprocessingml/2006/main">
          <w:rFonts w:ascii="Calibri" w:cs="Calibri" w:eastAsia="Calibri" w:hAnsi="Calibri"/>
          <w:sz w:val="22"/>
          <w:szCs w:val="22"/>
          <w:u w:val="single" w:color="auto"/>
          <w:color w:val="0563C1"/>
        </w:rPr>
        <w:t xml:space="preserve">https://www.nfa.futures.org/investors/investor-resources/files/security-futures-disclosure.pdf </w:t>
      </w:r>
      <w:r>
        <w:rPr xmlns:w="http://schemas.openxmlformats.org/wordprocessingml/2006/main">
          <w:rFonts w:ascii="Calibri" w:cs="Calibri" w:eastAsia="Calibri" w:hAnsi="Calibri"/>
          <w:sz w:val="22"/>
          <w:szCs w:val="22"/>
          <w:color w:val="000000"/>
        </w:rPr>
        <w:t xml:space="preserve">και τα </w:t>
      </w:r>
      <w:r>
        <w:rPr xmlns:w="http://schemas.openxmlformats.org/wordprocessingml/2006/main">
          <w:rFonts w:ascii="Calibri" w:cs="Calibri" w:eastAsia="Calibri" w:hAnsi="Calibri"/>
          <w:sz w:val="22"/>
          <w:szCs w:val="22"/>
          <w:u w:val="single" w:color="auto"/>
          <w:color w:val="000000"/>
        </w:rPr>
        <w:t xml:space="preserve">ομοιόμορφα συμβόλαια μελλοντικής εκπλήρωσης και τα δικαιώματα προαίρεσης της Ένωσης Προθεσμιακών Βιομηχανιών για γνωστοποιήσεις κινδύνου συμβολαίων μελλοντικής εκπλήρωσης</w:t>
      </w:r>
      <w:r>
        <w:rPr xmlns:w="http://schemas.openxmlformats.org/wordprocessingml/2006/main">
          <w:rFonts w:ascii="Calibri" w:cs="Calibri" w:eastAsia="Calibri" w:hAnsi="Calibri"/>
          <w:sz w:val="22"/>
          <w:szCs w:val="22"/>
          <w:color w:val="000000"/>
        </w:rPr>
        <w:t xml:space="preserve">,</w:t>
      </w:r>
      <w:r>
        <w:rPr xmlns:w="http://schemas.openxmlformats.org/wordprocessingml/2006/main">
          <w:rFonts w:ascii="Calibri" w:cs="Calibri" w:eastAsia="Calibri" w:hAnsi="Calibri"/>
          <w:sz w:val="22"/>
          <w:szCs w:val="22"/>
          <w:u w:val="single" w:color="auto"/>
          <w:color w:val="0563C1"/>
        </w:rPr>
        <w:t xml:space="preserve"> https://lc.fia.org/uniform-futures-and-options-futures-risk-disclosures</w:t>
      </w:r>
      <w:r>
        <w:rPr xmlns:w="http://schemas.openxmlformats.org/wordprocessingml/2006/main">
          <w:rFonts w:ascii="Calibri" w:cs="Calibri" w:eastAsia="Calibri" w:hAnsi="Calibri"/>
          <w:sz w:val="22"/>
          <w:szCs w:val="22"/>
          <w:i w:val="1"/>
          <w:iCs w:val="1"/>
          <w:color w:val="000000"/>
        </w:rPr>
        <w:t xml:space="preserve">.</w:t>
      </w:r>
      <w:r>
        <w:rPr xmlns:w="http://schemas.openxmlformats.org/wordprocessingml/2006/main">
          <w:rFonts w:ascii="Calibri" w:cs="Calibri" w:eastAsia="Calibri" w:hAnsi="Calibri"/>
          <w:sz w:val="22"/>
          <w:szCs w:val="22"/>
          <w:color w:val="000000"/>
        </w:rPr>
        <w:t xml:space="preserve"> Οι γνωστοποιήσεις στο παρόν θα πρέπει να ερμηνεύονται </w:t>
      </w:r>
      <w:r>
        <w:rPr xmlns:w="http://schemas.openxmlformats.org/wordprocessingml/2006/main">
          <w:rFonts w:ascii="Calibri" w:cs="Calibri" w:eastAsia="Calibri" w:hAnsi="Calibri"/>
          <w:sz w:val="22"/>
          <w:szCs w:val="22"/>
          <w:color w:val="000000"/>
        </w:rPr>
        <w:t xml:space="preserve">κατά τρόπο συνεπή προς τις γνωστοποιήσεις αυτές.</w:t>
      </w:r>
      <w:r>
        <w:rPr xmlns:w="http://schemas.openxmlformats.org/wordprocessingml/2006/main">
          <w:rFonts w:ascii="Calibri" w:cs="Calibri" w:eastAsia="Calibri" w:hAnsi="Calibri"/>
          <w:sz w:val="22"/>
          <w:szCs w:val="22"/>
          <w:color w:val="000000"/>
        </w:rPr>
        <w:t xml:space="preserve"> Επιπλέον, επειδή το υποκείμενο μέσο μιας επιλογής συμβολαίων μελλοντικής εκπλήρωσης είναι συμβόλαιο μελλοντικής εκπλήρωσης, οι επενδυτές θα πρέπει να διαβάσουν και να κατανοήσουν το σχετικό έγγραφο βασικών πληροφοριών για το συμβόλαιο μελλοντικής εκπλήρωσης στο οποίο βασίζεται η επιλογή συμβολαίων μελλοντικής εκπλήρωσης.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-64135</wp:posOffset>
                </wp:positionH>
                <wp:positionV relativeFrom="paragraph">
                  <wp:posOffset>24130</wp:posOffset>
                </wp:positionV>
                <wp:extent cx="6947535" cy="44481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47535" cy="4448175"/>
                        </a:xfrm>
                        <a:prstGeom prst="rect">
                          <a:avLst/>
                        </a:prstGeom>
                        <a:solidFill>
                          <a:srgbClr val="BDD6EE"/>
                        </a:solidFill>
                      </wps:spPr>
                      <wps:bodyPr/>
                    </wps:wsp>
                  </a:graphicData>
                </a:graphic>
              </wp:anchor>
            </w:drawing>
          </mc:Choice>
          <mc:Fallback>
            <w:pict>
              <v:rect id="Shape 11" o:spid="_x0000_s1036" style="position:absolute;margin-left:-5.0499pt;margin-top:1.9pt;width:547.05pt;height:350.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64" w:lineRule="exact"/>
        <w:rPr>
          <w:sz w:val="24"/>
          <w:szCs w:val="24"/>
          <w:color w:val="auto"/>
        </w:rPr>
      </w:pPr>
    </w:p>
    <w:p>
      <w:pPr xmlns:w="http://schemas.openxmlformats.org/wordprocessingml/2006/main">
        <w:ind w:right="14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Δικαίωμα προαίρεσης επί συμβολαίων μελλοντικής εκπλήρωσης είναι το δικαίωμα αγοράς ή πώλησης συγκεκριμένου συμβολαίου μελλοντικής εκπλήρωσης σε καθορισμένη τιμή (</w:t>
      </w:r>
      <w:r>
        <w:rPr xmlns:w="http://schemas.openxmlformats.org/wordprocessingml/2006/main">
          <w:rFonts w:ascii="Calibri" w:cs="Calibri" w:eastAsia="Calibri" w:hAnsi="Calibri"/>
          <w:sz w:val="22"/>
          <w:szCs w:val="22"/>
          <w:i w:val="1"/>
          <w:iCs w:val="1"/>
          <w:color w:val="auto"/>
        </w:rPr>
        <w:t xml:space="preserve">δηλαδή «</w:t>
      </w:r>
      <w:r>
        <w:rPr xmlns:w="http://schemas.openxmlformats.org/wordprocessingml/2006/main">
          <w:rFonts w:ascii="Calibri" w:cs="Calibri" w:eastAsia="Calibri" w:hAnsi="Calibri"/>
          <w:sz w:val="22"/>
          <w:szCs w:val="22"/>
          <w:color w:val="auto"/>
        </w:rPr>
        <w:t xml:space="preserve"> τιμή άσκησης») ασκώντας το δικαίωμα προαίρεσης πριν από την καθορισμένη ημερομηνία λήξης του.</w:t>
      </w:r>
      <w:r>
        <w:rPr xmlns:w="http://schemas.openxmlformats.org/wordprocessingml/2006/main">
          <w:rFonts w:ascii="Calibri" w:cs="Calibri" w:eastAsia="Calibri" w:hAnsi="Calibri"/>
          <w:sz w:val="22"/>
          <w:szCs w:val="22"/>
          <w:color w:val="auto"/>
        </w:rPr>
        <w:t xml:space="preserve"> Το άνοιγμα στο υποκείμενο συμβόλαιο μελλοντικής εκπλήρωσης, και στο υποκείμενο επιτόκιο στο εν λόγω μέλλον, είναι επομένως έμμεσο, επειδή η αξία του δικαιώματος προαίρεσης απορρέει από την αξία του υποκείμενου μέλλοντος.</w:t>
      </w:r>
      <w:r>
        <w:rPr xmlns:w="http://schemas.openxmlformats.org/wordprocessingml/2006/main">
          <w:rFonts w:ascii="Calibri" w:cs="Calibri" w:eastAsia="Calibri" w:hAnsi="Calibri"/>
          <w:sz w:val="22"/>
          <w:szCs w:val="22"/>
          <w:color w:val="auto"/>
        </w:rPr>
        <w:t xml:space="preserve"> Οι ημερομηνίες λήξης για τις επιλογές συμβολαίων μελλοντικής εκπλήρωσης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η ανταλλαγή προθεσμιακών συμβολαίων μελλοντικής εκπλήρωσης στις ΗΠΑ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Ένα εταιρικό γεγονός που αφορά την υποκείμενη σύμβαση συμβολαίων μελλοντικής εκπλήρωσης ή το υποκείμενο συμφέρον που μπορεί να οδηγήσει σε μεταβολή των όρων του δικαιώματος σύμφωνα με τους κανόνες του OCC, το οποίο μπορεί να διαφέρει από τη μεθοδολογία που χρησιμοποιείται στις ευρωπαϊκές αγορές.</w:t>
      </w:r>
    </w:p>
    <w:p>
      <w:pPr>
        <w:spacing w:after="0" w:line="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67" w:lineRule="exact"/>
        <w:rPr>
          <w:sz w:val="24"/>
          <w:szCs w:val="24"/>
          <w:color w:val="auto"/>
        </w:rPr>
      </w:pPr>
    </w:p>
    <w:p>
      <w:pPr xmlns:w="http://schemas.openxmlformats.org/wordprocessingml/2006/main">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(αγοραστής)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«ασφάλιστρο».</w:t>
      </w:r>
      <w:r>
        <w:rPr xmlns:w="http://schemas.openxmlformats.org/wordprocessingml/2006/main">
          <w:rFonts w:ascii="Calibri" w:cs="Calibri" w:eastAsia="Calibri" w:hAnsi="Calibri"/>
          <w:sz w:val="22"/>
          <w:szCs w:val="22"/>
          <w:color w:val="auto"/>
        </w:rPr>
        <w:t xml:space="preserve"> Ο δικαιοπάροχος είναι υποχρεωμένος - αν και όταν του ανατίθεται μια άσκηση - να εκτελεί σύμφωνα με τους όρους είτε να αγοράσει είτε να πωλήσει το υποκείμενο συμβόλαιο μελλοντικής εκπλήρωσης στην τιμή άσκησης.</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δικαιώματα προαίρεσης επί συμβολαίων μελλοντικής εκπλήρωσης διακανονίζονται γενικά μέσω της άσκησης του υποκείμενου συμβολαίου μελλοντικής εκπλήρωσης.</w:t>
      </w:r>
      <w:r>
        <w:rPr xmlns:w="http://schemas.openxmlformats.org/wordprocessingml/2006/main">
          <w:rFonts w:ascii="Calibri" w:cs="Calibri" w:eastAsia="Calibri" w:hAnsi="Calibri"/>
          <w:sz w:val="22"/>
          <w:szCs w:val="22"/>
          <w:color w:val="auto"/>
        </w:rPr>
        <w:t xml:space="preserve"> Αυτό σημαίνει ότι ο εκδότης ενός δικαιώματος αγοράς, κατά την άσκησή του, θα αποκτούσε μια αρνητική θέση στο υποκείμενο συμβόλαιο μελλοντικής εκπλήρωσης που τιμολογείται στην τιμή άσκησης του δικαιώματος προαίρεσης.</w:t>
      </w:r>
      <w:r>
        <w:rPr xmlns:w="http://schemas.openxmlformats.org/wordprocessingml/2006/main">
          <w:rFonts w:ascii="Calibri" w:cs="Calibri" w:eastAsia="Calibri" w:hAnsi="Calibri"/>
          <w:sz w:val="22"/>
          <w:szCs w:val="22"/>
          <w:color w:val="auto"/>
        </w:rPr>
        <w:t xml:space="preserve"> Ορισμένα δικαιώματα προαίρεσης επί συμβολαίων μελλοντικής εκπλήρωσης μπορούν αντ' αυτού να διακανονιστούν τοις μετρητοίς, οπότε ο συγγραφέας θα προέβαινε σε καταβολή μετρητών αν, κατά την άσκηση, η αξία του υποκείμενου μέλλοντος υπερέβαινε την τιμή άσκησης.</w:t>
      </w:r>
      <w:r>
        <w:rPr xmlns:w="http://schemas.openxmlformats.org/wordprocessingml/2006/main">
          <w:rFonts w:ascii="Calibri" w:cs="Calibri" w:eastAsia="Calibri" w:hAnsi="Calibri"/>
          <w:sz w:val="22"/>
          <w:szCs w:val="22"/>
          <w:color w:val="auto"/>
        </w:rPr>
        <w:t xml:space="preserve"> Στους παράγοντες που επηρεάζουν την αξία ενός δικαιώματος προαίρεσης επί συμβολαίου μελλοντικής εκπλήρωσης περιλαμβάνονται η τιμή άσκησης, ο χρόνος έως τη λήξη και η αξία του υποκείμενου συμβολαίου μελλοντικής εκπλήρωσης και η ευαισθησία του στις διακυμάνσεις των τιμών (μεταβλητότητα).</w:t>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67" w:lineRule="exact"/>
        <w:rPr>
          <w:sz w:val="24"/>
          <w:szCs w:val="24"/>
          <w:color w:val="auto"/>
        </w:rPr>
      </w:pPr>
    </w:p>
    <w:p>
      <w:pPr xmlns:w="http://schemas.openxmlformats.org/wordprocessingml/2006/main">
        <w:ind w:right="8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-70485</wp:posOffset>
                </wp:positionH>
                <wp:positionV relativeFrom="paragraph">
                  <wp:posOffset>17780</wp:posOffset>
                </wp:positionV>
                <wp:extent cx="696150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6150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5499pt,1.4pt" to="542.6pt,1.4pt" o:allowincell="f" strokecolor="#000000" strokeweight="0.4799pt"/>
            </w:pict>
          </mc:Fallback>
        </mc:AlternateContent>
      </w:r>
    </w:p>
    <w:p>
      <w:pPr>
        <w:sectPr>
          <w:pgSz w:w="12240" w:h="15840" w:orient="portrait"/>
          <w:cols w:equalWidth="0" w:num="1">
            <w:col w:w="10740"/>
          </w:cols>
          <w:pgMar w:left="800" w:top="555" w:right="7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368300</wp:posOffset>
                </wp:positionV>
                <wp:extent cx="696214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9pt" to="582.6pt,2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365125</wp:posOffset>
                </wp:positionV>
                <wp:extent cx="0" cy="900112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0112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28.75pt" to="34.65pt,73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7395845</wp:posOffset>
                </wp:positionH>
                <wp:positionV relativeFrom="page">
                  <wp:posOffset>365125</wp:posOffset>
                </wp:positionV>
                <wp:extent cx="0" cy="900112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0112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2.35pt,28.75pt" to="582.35pt,73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1118235</wp:posOffset>
            </wp:positionH>
            <wp:positionV relativeFrom="paragraph">
              <wp:posOffset>15875</wp:posOffset>
            </wp:positionV>
            <wp:extent cx="4942205" cy="18091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42205" cy="1809115"/>
                    </a:xfrm>
                    <a:prstGeom prst="rect">
                      <a:avLst/>
                    </a:prstGeom>
                    <a:noFill/>
                  </pic:spPr>
                </pic:pic>
              </a:graphicData>
            </a:graphic>
          </wp:anchor>
        </w:drawing>
        <w:drawing>
          <wp:anchor simplePos="0" relativeHeight="251657728" behindDoc="1" locked="0" layoutInCell="0" allowOverlap="1">
            <wp:simplePos x="0" y="0"/>
            <wp:positionH relativeFrom="column">
              <wp:posOffset>1118235</wp:posOffset>
            </wp:positionH>
            <wp:positionV relativeFrom="paragraph">
              <wp:posOffset>15875</wp:posOffset>
            </wp:positionV>
            <wp:extent cx="4942205" cy="180911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42205" cy="18091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xmlns:w="http://schemas.openxmlformats.org/wordprocessingml/2006/main">
        <w:ind w:right="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τους κατόχους και τους συγγραφείς εξαρτάται από τους όρους του, αλλά μπορεί να περιλαμβάνει τα ακόλουθα:</w:t>
      </w:r>
    </w:p>
    <w:p>
      <w:pPr>
        <w:spacing w:after="0" w:line="79" w:lineRule="exact"/>
        <w:rPr>
          <w:sz w:val="20"/>
          <w:szCs w:val="20"/>
          <w:color w:val="auto"/>
        </w:rPr>
      </w:pPr>
    </w:p>
    <w:p>
      <w:pPr xmlns:w="http://schemas.openxmlformats.org/wordprocessingml/2006/main">
        <w:ind w:left="220" w:hanging="218"/>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Ένας συγγραφέας μπορεί να κληθεί να εκπληρώσει την υποχρέωση να αγοράσει ή να πωλήσει το υποκείμενο περιουσιακό στοιχείο οποιαδήποτε στιγμή κατά την οποία το δικαίωμα προαίρεσης μπορεί να ασκηθεί λόγω του ύφους του.</w:t>
      </w:r>
      <w:r>
        <w:rPr xmlns:w="http://schemas.openxmlformats.org/wordprocessingml/2006/main">
          <w:rFonts w:ascii="Calibri" w:cs="Calibri" w:eastAsia="Calibri" w:hAnsi="Calibri"/>
          <w:sz w:val="22"/>
          <w:szCs w:val="22"/>
          <w:color w:val="auto"/>
        </w:rPr>
        <w:t xml:space="preserve"> Ο δικαιοπάροχος που δεν είναι ιδιοκτήτης του υποκείμενου συμβολαίου μελλοντικής εκπλήρωσης (ακάλυπτος δικαίωμα αγοράς) αναλαμβάνει τον κίνδυνο δυνητικής απεριόριστης ζημίας καθώς αυξάνεται η τιμή των υποκείμενων επιτοκίων.</w:t>
      </w:r>
      <w:r>
        <w:rPr xmlns:w="http://schemas.openxmlformats.org/wordprocessingml/2006/main">
          <w:rFonts w:ascii="Calibri" w:cs="Calibri" w:eastAsia="Calibri" w:hAnsi="Calibri"/>
          <w:sz w:val="22"/>
          <w:szCs w:val="22"/>
          <w:color w:val="auto"/>
        </w:rPr>
        <w:t xml:space="preserve"> Όσοι εγγράφουν τέτοιου είδους μη καλυμμένες κλήσεις υποχρεούνται να καταθέτουν το περιθώριο (που περιγράφεται κατωτέρω) μαζί με το μεσίτη τους, γεγονός που δημιουργεί πρόσθετο κίνδυνο.</w:t>
      </w:r>
    </w:p>
    <w:p>
      <w:pPr>
        <w:spacing w:after="0" w:line="80" w:lineRule="exact"/>
        <w:rPr>
          <w:rFonts w:ascii="Symbol" w:cs="Symbol" w:eastAsia="Symbol" w:hAnsi="Symbol"/>
          <w:sz w:val="22"/>
          <w:szCs w:val="22"/>
          <w:color w:val="auto"/>
        </w:rPr>
      </w:pPr>
    </w:p>
    <w:p>
      <w:pPr xmlns:w="http://schemas.openxmlformats.org/wordprocessingml/2006/main">
        <w:jc w:val="both"/>
        <w:ind w:left="220" w:right="280" w:hanging="218"/>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αμερικανικό χρηματιστήριο προθεσμιακών συμβολαίων μελλοντικής εκπλήρωσης (futures options), όπου τα δικαιώματα προαίρεσης γίνονται αποκλειστικά αντικείμενο διαπραγμάτευσης, καθίσταται μη διαθέσιμο, οι επενδυτές δεν θα μπορούσαν πλέον να προβούν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επί συμβολαίων μελλοντικής εκπλήρωσης δεν θα διατηρούν συνήθεις ή αναμενόμενες σχέσεις με τις αξίες των υποκείμενων ή συναφών συμφερόντων.</w:t>
      </w:r>
    </w:p>
    <w:p>
      <w:pPr>
        <w:spacing w:after="0" w:line="79" w:lineRule="exact"/>
        <w:rPr>
          <w:rFonts w:ascii="Symbol" w:cs="Symbol" w:eastAsia="Symbol" w:hAnsi="Symbol"/>
          <w:sz w:val="22"/>
          <w:szCs w:val="22"/>
          <w:color w:val="auto"/>
        </w:rPr>
      </w:pPr>
    </w:p>
    <w:p>
      <w:pPr xmlns:w="http://schemas.openxmlformats.org/wordprocessingml/2006/main">
        <w:ind w:left="220" w:right="160" w:hanging="218"/>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το υποκείμενο συμβόλαιο μελλοντικής εκπλήρωσης για ένα εξασκημένο δικαίωμα προαίρεσης δεν είναι διαθέσιμο, οι κανόνες της OCC ενδέχεται να απαιτούν εναλλακτική μορφή διακανονισμού, όπως διακανονισμό τοις μετρητοίς.</w:t>
      </w:r>
    </w:p>
    <w:p>
      <w:pPr>
        <w:spacing w:after="0" w:line="80" w:lineRule="exact"/>
        <w:rPr>
          <w:rFonts w:ascii="Symbol" w:cs="Symbol" w:eastAsia="Symbol" w:hAnsi="Symbol"/>
          <w:sz w:val="22"/>
          <w:szCs w:val="22"/>
          <w:color w:val="auto"/>
        </w:rPr>
      </w:pPr>
    </w:p>
    <w:p>
      <w:pPr xmlns:w="http://schemas.openxmlformats.org/wordprocessingml/2006/main">
        <w:ind w:left="220" w:right="820" w:hanging="218"/>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Οι επενδυτές θα πρέπει να λαμβάνουν υπόψη το προφίλ κινδύνου και απόδοσης του συμβολαίου μελλοντικής εκπλήρωσης στο οποίο βασίζεται η επιλογή συμβολαίου μελλοντικής εκπλήρωσης, όπως περιγράφεται στο σχετικό έγγραφο βασικών πληροφοριών για το υποκείμενο συμβόλαιο μελλοντικής εκπλήρωσης.</w:t>
      </w:r>
    </w:p>
    <w:p>
      <w:pPr>
        <w:spacing w:after="0" w:line="2" w:lineRule="exact"/>
        <w:rPr>
          <w:rFonts w:ascii="Symbol" w:cs="Symbol" w:eastAsia="Symbol" w:hAnsi="Symbol"/>
          <w:sz w:val="22"/>
          <w:szCs w:val="22"/>
          <w:color w:val="auto"/>
        </w:rPr>
      </w:pPr>
    </w:p>
    <w:p>
      <w:pPr xmlns:w="http://schemas.openxmlformats.org/wordprocessingml/2006/main">
        <w:ind w:left="220" w:hanging="218"/>
        <w:spacing w:after="0" w:line="23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9" w:lineRule="exact"/>
        <w:rPr>
          <w:rFonts w:ascii="Symbol" w:cs="Symbol" w:eastAsia="Symbol" w:hAnsi="Symbol"/>
          <w:sz w:val="22"/>
          <w:szCs w:val="22"/>
          <w:color w:val="auto"/>
        </w:rPr>
      </w:pPr>
    </w:p>
    <w:p>
      <w:pPr xmlns:w="http://schemas.openxmlformats.org/wordprocessingml/2006/main">
        <w:ind w:left="220" w:right="280" w:hanging="218"/>
        <w:spacing w:after="0" w:line="201"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w:t>
      </w:r>
    </w:p>
    <w:p>
      <w:pPr>
        <w:spacing w:after="0" w:line="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που λαμβάνονται υπόψη στον ανωτέρω δείκτη.</w:t>
      </w:r>
    </w:p>
    <w:p>
      <w:pPr>
        <w:spacing w:after="0" w:line="67" w:lineRule="exact"/>
        <w:rPr>
          <w:sz w:val="20"/>
          <w:szCs w:val="20"/>
          <w:color w:val="auto"/>
        </w:rPr>
      </w:pPr>
    </w:p>
    <w:p>
      <w:pPr xmlns:w="http://schemas.openxmlformats.org/wordprocessingml/2006/main">
        <w:ind w:right="1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19050</wp:posOffset>
            </wp:positionH>
            <wp:positionV relativeFrom="paragraph">
              <wp:posOffset>14605</wp:posOffset>
            </wp:positionV>
            <wp:extent cx="6644640" cy="1659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644640" cy="1659890"/>
                    </a:xfrm>
                    <a:prstGeom prst="rect">
                      <a:avLst/>
                    </a:prstGeom>
                    <a:noFill/>
                  </pic:spPr>
                </pic:pic>
              </a:graphicData>
            </a:graphic>
          </wp:anchor>
        </w:drawing>
        <w:drawing>
          <wp:anchor simplePos="0" relativeHeight="251657728" behindDoc="1" locked="0" layoutInCell="0" allowOverlap="1">
            <wp:simplePos x="0" y="0"/>
            <wp:positionH relativeFrom="column">
              <wp:posOffset>19050</wp:posOffset>
            </wp:positionH>
            <wp:positionV relativeFrom="paragraph">
              <wp:posOffset>14605</wp:posOffset>
            </wp:positionV>
            <wp:extent cx="6644640" cy="1659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644640" cy="1659890"/>
                    </a:xfrm>
                    <a:prstGeom prst="rect">
                      <a:avLst/>
                    </a:prstGeom>
                    <a:noFill/>
                  </pic:spPr>
                </pic:pic>
              </a:graphicData>
            </a:graphic>
          </wp:anchor>
        </w:drawing>
      </w:r>
    </w:p>
    <w:p>
      <w:pPr>
        <w:sectPr>
          <w:pgSz w:w="12240" w:h="15840" w:orient="portrait"/>
          <w:cols w:equalWidth="0" w:num="1">
            <w:col w:w="10740"/>
          </w:cols>
          <w:pgMar w:left="800" w:top="562" w:right="700" w:bottom="564" w:gutter="0" w:footer="0" w:header="0"/>
        </w:sectPr>
      </w:pPr>
    </w:p>
    <w:p>
      <w:pPr>
        <w:spacing w:after="0" w:line="177" w:lineRule="exact"/>
        <w:rPr>
          <w:sz w:val="20"/>
          <w:szCs w:val="20"/>
          <w:color w:val="auto"/>
        </w:rPr>
      </w:pPr>
    </w:p>
    <w:p>
      <w:pPr xmlns:w="http://schemas.openxmlformats.org/wordprocessingml/2006/main">
        <w:jc w:val="center"/>
        <w:ind w:left="380"/>
        <w:spacing w:after="0"/>
        <w:rPr>
          <w:sz w:val="20"/>
          <w:szCs w:val="20"/>
          <w:color w:val="auto"/>
        </w:rPr>
      </w:pPr>
      <w:r>
        <w:rPr xmlns:w="http://schemas.openxmlformats.org/wordprocessingml/2006/main">
          <w:rFonts w:ascii="Calibri" w:cs="Calibri" w:eastAsia="Calibri" w:hAnsi="Calibri"/>
          <w:sz w:val="16"/>
          <w:szCs w:val="16"/>
          <w:color w:val="595959"/>
        </w:rPr>
        <w:t xml:space="preserve">P / L της σύνταξης μιας κλήσης (Πριμοδότηση $ 5?</w:t>
      </w:r>
      <w:r>
        <w:rPr xmlns:w="http://schemas.openxmlformats.org/wordprocessingml/2006/main">
          <w:rFonts w:ascii="Calibri" w:cs="Calibri" w:eastAsia="Calibri" w:hAnsi="Calibri"/>
          <w:sz w:val="16"/>
          <w:szCs w:val="16"/>
          <w:color w:val="595959"/>
        </w:rPr>
        <w:t xml:space="preserve"> Τιμή άσκησης (45 $)</w:t>
      </w:r>
    </w:p>
    <w:p>
      <w:pPr>
        <w:spacing w:after="0" w:line="127" w:lineRule="exact"/>
        <w:rPr>
          <w:sz w:val="20"/>
          <w:szCs w:val="20"/>
          <w:color w:val="auto"/>
        </w:rPr>
      </w:pPr>
    </w:p>
    <w:tbl>
      <w:tblPr>
        <w:tblLayout w:type="fixed"/>
        <w:tblInd w:w="440" w:type="dxa"/>
        <w:tblCellMar>
          <w:top w:w="0" w:type="dxa"/>
          <w:left w:w="0" w:type="dxa"/>
          <w:bottom w:w="0" w:type="dxa"/>
          <w:right w:w="0" w:type="dxa"/>
        </w:tblCellMar>
      </w:tblPr>
      <w:tr>
        <w:trPr>
          <w:trHeight w:val="220"/>
        </w:trPr>
        <w:tc>
          <w:tcPr>
            <w:tcW w:w="160" w:type="dxa"/>
            <w:vAlign w:val="bottom"/>
          </w:tcPr>
          <w:p>
            <w:pPr>
              <w:spacing w:after="0"/>
              <w:rPr>
                <w:sz w:val="19"/>
                <w:szCs w:val="19"/>
                <w:color w:val="auto"/>
              </w:rPr>
            </w:pPr>
          </w:p>
        </w:tc>
        <w:tc>
          <w:tcPr>
            <w:tcW w:w="5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50 $</w:t>
            </w:r>
          </w:p>
        </w:tc>
        <w:tc>
          <w:tcPr>
            <w:tcW w:w="0" w:type="dxa"/>
            <w:vAlign w:val="bottom"/>
          </w:tcPr>
          <w:p>
            <w:pPr>
              <w:spacing w:after="0"/>
              <w:rPr>
                <w:sz w:val="1"/>
                <w:szCs w:val="1"/>
                <w:color w:val="auto"/>
              </w:rPr>
            </w:pPr>
          </w:p>
        </w:tc>
      </w:tr>
      <w:tr>
        <w:trPr>
          <w:trHeight w:val="314"/>
        </w:trPr>
        <w:tc>
          <w:tcPr>
            <w:tcW w:w="16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5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0" w:type="dxa"/>
            <w:vAlign w:val="bottom"/>
          </w:tcPr>
          <w:p>
            <w:pPr>
              <w:spacing w:after="0"/>
              <w:rPr>
                <w:sz w:val="1"/>
                <w:szCs w:val="1"/>
                <w:color w:val="auto"/>
              </w:rPr>
            </w:pPr>
          </w:p>
        </w:tc>
      </w:tr>
      <w:tr>
        <w:trPr>
          <w:trHeight w:val="182"/>
        </w:trPr>
        <w:tc>
          <w:tcPr>
            <w:tcW w:w="160" w:type="dxa"/>
            <w:vAlign w:val="bottom"/>
            <w:vMerge w:val="continue"/>
          </w:tcPr>
          <w:p>
            <w:pPr>
              <w:spacing w:after="0"/>
              <w:rPr>
                <w:sz w:val="15"/>
                <w:szCs w:val="15"/>
                <w:color w:val="auto"/>
              </w:rPr>
            </w:pPr>
          </w:p>
        </w:tc>
        <w:tc>
          <w:tcPr>
            <w:tcW w:w="5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-50 $</w:t>
            </w:r>
          </w:p>
        </w:tc>
        <w:tc>
          <w:tcPr>
            <w:tcW w:w="0" w:type="dxa"/>
            <w:vAlign w:val="bottom"/>
          </w:tcPr>
          <w:p>
            <w:pPr>
              <w:spacing w:after="0"/>
              <w:rPr>
                <w:sz w:val="1"/>
                <w:szCs w:val="1"/>
                <w:color w:val="auto"/>
              </w:rPr>
            </w:pPr>
          </w:p>
        </w:tc>
      </w:tr>
      <w:tr>
        <w:trPr>
          <w:trHeight w:val="135"/>
        </w:trPr>
        <w:tc>
          <w:tcPr>
            <w:tcW w:w="1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314"/>
        </w:trPr>
        <w:tc>
          <w:tcPr>
            <w:tcW w:w="160" w:type="dxa"/>
            <w:vAlign w:val="bottom"/>
          </w:tcPr>
          <w:p>
            <w:pPr>
              <w:spacing w:after="0"/>
              <w:rPr>
                <w:sz w:val="24"/>
                <w:szCs w:val="24"/>
                <w:color w:val="auto"/>
              </w:rPr>
            </w:pPr>
          </w:p>
        </w:tc>
        <w:tc>
          <w:tcPr>
            <w:tcW w:w="5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-100 $</w:t>
            </w:r>
          </w:p>
        </w:tc>
        <w:tc>
          <w:tcPr>
            <w:tcW w:w="0" w:type="dxa"/>
            <w:vAlign w:val="bottom"/>
          </w:tcPr>
          <w:p>
            <w:pPr>
              <w:spacing w:after="0"/>
              <w:rPr>
                <w:sz w:val="1"/>
                <w:szCs w:val="1"/>
                <w:color w:val="auto"/>
              </w:rPr>
            </w:pPr>
          </w:p>
        </w:tc>
      </w:tr>
    </w:tbl>
    <w:p>
      <w:pPr>
        <w:spacing w:after="0" w:line="13" w:lineRule="exact"/>
        <w:rPr>
          <w:sz w:val="20"/>
          <w:szCs w:val="20"/>
          <w:color w:val="auto"/>
        </w:rPr>
      </w:pPr>
    </w:p>
    <w:p>
      <w:pPr xmlns:w="http://schemas.openxmlformats.org/wordprocessingml/2006/main">
        <w:jc w:val="right"/>
        <w:spacing w:after="0"/>
        <w:tabs>
          <w:tab w:leader="none" w:pos="3280" w:val="left"/>
          <w:tab w:leader="none" w:pos="2680" w:val="left"/>
          <w:tab w:leader="none" w:pos="2080" w:val="left"/>
          <w:tab w:leader="none" w:pos="1500" w:val="left"/>
          <w:tab w:leader="none" w:pos="940" w:val="left"/>
          <w:tab w:leader="none" w:pos="340" w:val="left"/>
        </w:tabs>
        <w:rPr>
          <w:sz w:val="20"/>
          <w:szCs w:val="20"/>
          <w:color w:val="auto"/>
        </w:rPr>
      </w:pPr>
      <w:r>
        <w:rPr xmlns:w="http://schemas.openxmlformats.org/wordprocessingml/2006/main">
          <w:rFonts w:ascii="Calibri" w:cs="Calibri" w:eastAsia="Calibri" w:hAnsi="Calibri"/>
          <w:sz w:val="18"/>
          <w:szCs w:val="18"/>
          <w:color w:val="595959"/>
        </w:rPr>
        <w:t xml:space="preserve">0 $</w:t>
        <w:tab xmlns:w="http://schemas.openxmlformats.org/wordprocessingml/2006/main"/>
      </w:r>
      <w:r>
        <w:rPr xmlns:w="http://schemas.openxmlformats.org/wordprocessingml/2006/main">
          <w:rFonts w:ascii="Calibri" w:cs="Calibri" w:eastAsia="Calibri" w:hAnsi="Calibri"/>
          <w:sz w:val="18"/>
          <w:szCs w:val="18"/>
          <w:color w:val="595959"/>
        </w:rPr>
        <w:t xml:space="preserve">20 $</w:t>
        <w:tab xmlns:w="http://schemas.openxmlformats.org/wordprocessingml/2006/main"/>
      </w:r>
      <w:r>
        <w:rPr xmlns:w="http://schemas.openxmlformats.org/wordprocessingml/2006/main">
          <w:rFonts w:ascii="Calibri" w:cs="Calibri" w:eastAsia="Calibri" w:hAnsi="Calibri"/>
          <w:sz w:val="18"/>
          <w:szCs w:val="18"/>
          <w:color w:val="595959"/>
        </w:rPr>
        <w:t xml:space="preserve">40 $</w:t>
        <w:tab xmlns:w="http://schemas.openxmlformats.org/wordprocessingml/2006/main"/>
      </w:r>
      <w:r>
        <w:rPr xmlns:w="http://schemas.openxmlformats.org/wordprocessingml/2006/main">
          <w:rFonts w:ascii="Calibri" w:cs="Calibri" w:eastAsia="Calibri" w:hAnsi="Calibri"/>
          <w:sz w:val="18"/>
          <w:szCs w:val="18"/>
          <w:color w:val="595959"/>
        </w:rPr>
        <w:t xml:space="preserve">60 $</w:t>
        <w:tab xmlns:w="http://schemas.openxmlformats.org/wordprocessingml/2006/main"/>
      </w:r>
      <w:r>
        <w:rPr xmlns:w="http://schemas.openxmlformats.org/wordprocessingml/2006/main">
          <w:rFonts w:ascii="Calibri" w:cs="Calibri" w:eastAsia="Calibri" w:hAnsi="Calibri"/>
          <w:sz w:val="18"/>
          <w:szCs w:val="18"/>
          <w:color w:val="595959"/>
        </w:rPr>
        <w:t xml:space="preserve">80 $</w:t>
        <w:tab xmlns:w="http://schemas.openxmlformats.org/wordprocessingml/2006/main"/>
      </w:r>
      <w:r>
        <w:rPr xmlns:w="http://schemas.openxmlformats.org/wordprocessingml/2006/main">
          <w:rFonts w:ascii="Calibri" w:cs="Calibri" w:eastAsia="Calibri" w:hAnsi="Calibri"/>
          <w:sz w:val="18"/>
          <w:szCs w:val="18"/>
          <w:color w:val="595959"/>
        </w:rPr>
        <w:t xml:space="preserve">100 $</w:t>
        <w:tab xmlns:w="http://schemas.openxmlformats.org/wordprocessingml/2006/main"/>
      </w:r>
      <w:r>
        <w:rPr xmlns:w="http://schemas.openxmlformats.org/wordprocessingml/2006/main">
          <w:rFonts w:ascii="Calibri" w:cs="Calibri" w:eastAsia="Calibri" w:hAnsi="Calibri"/>
          <w:sz w:val="17"/>
          <w:szCs w:val="17"/>
          <w:color w:val="595959"/>
        </w:rPr>
        <w:t xml:space="preserve">120 $</w:t>
      </w:r>
    </w:p>
    <w:p>
      <w:pPr>
        <w:spacing w:after="0" w:line="62" w:lineRule="exact"/>
        <w:rPr>
          <w:sz w:val="20"/>
          <w:szCs w:val="20"/>
          <w:color w:val="auto"/>
        </w:rPr>
      </w:pPr>
    </w:p>
    <w:p>
      <w:pPr xmlns:w="http://schemas.openxmlformats.org/wordprocessingml/2006/main">
        <w:ind w:left="2160"/>
        <w:spacing w:after="0"/>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μέσου</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Υποτονική Κίνηση Της Αγοράς (</w:t>
      </w:r>
      <w:r>
        <w:rPr xmlns:w="http://schemas.openxmlformats.org/wordprocessingml/2006/main">
          <w:rFonts w:ascii="Calibri" w:cs="Calibri" w:eastAsia="Calibri" w:hAnsi="Calibri"/>
          <w:sz w:val="16"/>
          <w:szCs w:val="16"/>
          <w:u w:val="single" w:color="auto"/>
          <w:color w:val="FF0000"/>
        </w:rPr>
        <w:t xml:space="preserve">Red Plot Point</w:t>
      </w:r>
      <w:r>
        <w:rPr xmlns:w="http://schemas.openxmlformats.org/wordprocessingml/2006/main">
          <w:rFonts w:ascii="Calibri" w:cs="Calibri" w:eastAsia="Calibri" w:hAnsi="Calibri"/>
          <w:sz w:val="16"/>
          <w:szCs w:val="16"/>
          <w:u w:val="single" w:color="auto"/>
          <w:color w:val="auto"/>
        </w:rPr>
        <w:t xml:space="preserve">)</w:t>
      </w:r>
    </w:p>
    <w:p>
      <w:pPr>
        <w:spacing w:after="0" w:line="1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100 $</w:t>
      </w:r>
    </w:p>
    <w:p>
      <w:pPr>
        <w:spacing w:after="0" w:line="75" w:lineRule="exact"/>
        <w:rPr>
          <w:sz w:val="20"/>
          <w:szCs w:val="20"/>
          <w:color w:val="auto"/>
        </w:rPr>
      </w:pPr>
    </w:p>
    <w:p>
      <w:pPr xmlns:w="http://schemas.openxmlformats.org/wordprocessingml/2006/main">
        <w:ind w:left="280" w:hanging="143"/>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-$50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+ 50 $</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Υποκείμενη Κίνηση Της Αγοράς (</w:t>
      </w:r>
      <w:r>
        <w:rPr xmlns:w="http://schemas.openxmlformats.org/wordprocessingml/2006/main">
          <w:rFonts w:ascii="Calibri" w:cs="Calibri" w:eastAsia="Calibri" w:hAnsi="Calibri"/>
          <w:sz w:val="16"/>
          <w:szCs w:val="16"/>
          <w:u w:val="single" w:color="auto"/>
          <w:color w:val="00B050"/>
        </w:rPr>
        <w:t xml:space="preserve">Σημείο Πράσινου Οικοπέδου</w:t>
      </w:r>
      <w:r>
        <w:rPr xmlns:w="http://schemas.openxmlformats.org/wordprocessingml/2006/main">
          <w:rFonts w:ascii="Calibri" w:cs="Calibri" w:eastAsia="Calibri" w:hAnsi="Calibri"/>
          <w:sz w:val="16"/>
          <w:szCs w:val="16"/>
          <w:u w:val="single" w:color="auto"/>
          <w:color w:val="auto"/>
        </w:rPr>
        <w:t xml:space="preserve">)</w:t>
      </w:r>
    </w:p>
    <w:p>
      <w:pPr>
        <w:spacing w:after="0" w:line="1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60 $</w:t>
      </w:r>
    </w:p>
    <w:p>
      <w:pPr>
        <w:spacing w:after="0" w:line="75" w:lineRule="exact"/>
        <w:rPr>
          <w:sz w:val="20"/>
          <w:szCs w:val="20"/>
          <w:color w:val="auto"/>
        </w:rPr>
      </w:pPr>
    </w:p>
    <w:p>
      <w:pPr xmlns:w="http://schemas.openxmlformats.org/wordprocessingml/2006/main">
        <w:ind w:left="280" w:hanging="143"/>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-$10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+$10</w:t>
      </w:r>
    </w:p>
    <w:p>
      <w:pPr>
        <w:spacing w:after="0" w:line="194" w:lineRule="exact"/>
        <w:rPr>
          <w:sz w:val="20"/>
          <w:szCs w:val="20"/>
          <w:color w:val="auto"/>
        </w:rPr>
      </w:pPr>
    </w:p>
    <w:p>
      <w:pPr xmlns:w="http://schemas.openxmlformats.org/wordprocessingml/2006/main">
        <w:ind w:right="42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συν το ασφάλιστρο.</w:t>
      </w:r>
    </w:p>
    <w:p>
      <w:pPr>
        <w:spacing w:after="0" w:line="200" w:lineRule="exact"/>
        <w:rPr>
          <w:sz w:val="20"/>
          <w:szCs w:val="20"/>
          <w:color w:val="auto"/>
        </w:rPr>
      </w:pPr>
    </w:p>
    <w:p>
      <w:pPr>
        <w:sectPr>
          <w:pgSz w:w="12240" w:h="15840" w:orient="portrait"/>
          <w:cols w:equalWidth="0" w:num="2">
            <w:col w:w="5000" w:space="380"/>
            <w:col w:w="5360"/>
          </w:cols>
          <w:pgMar w:left="800" w:top="562" w:right="700" w:bottom="564" w:gutter="0" w:footer="0" w:header="0"/>
          <w:type w:val="continuous"/>
        </w:sectPr>
      </w:pPr>
    </w:p>
    <w:p>
      <w:pPr>
        <w:spacing w:after="0" w:line="50" w:lineRule="exact"/>
        <w:rPr>
          <w:sz w:val="20"/>
          <w:szCs w:val="20"/>
          <w:color w:val="auto"/>
        </w:rPr>
      </w:pPr>
    </w:p>
    <w:p>
      <w:pPr xmlns:w="http://schemas.openxmlformats.org/wordprocessingml/2006/main">
        <w:ind w:right="80"/>
        <w:spacing w:after="0" w:line="232"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μειωθεί.</w:t>
      </w:r>
      <w:r>
        <w:rPr xmlns:w="http://schemas.openxmlformats.org/wordprocessingml/2006/main">
          <w:rFonts w:ascii="Calibri" w:cs="Calibri" w:eastAsia="Calibri" w:hAnsi="Calibri"/>
          <w:sz w:val="22"/>
          <w:szCs w:val="22"/>
          <w:color w:val="auto"/>
        </w:rPr>
        <w:t xml:space="preserve"> Αυτό που θα λάβετε θα ποικίλει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δείχνει τις πιθανές τιμές του υποκείμενου και ο κατακόρυφος άξονας δείχνει το κέρδος ή τη ζημία.</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-70485</wp:posOffset>
                </wp:positionH>
                <wp:positionV relativeFrom="paragraph">
                  <wp:posOffset>20955</wp:posOffset>
                </wp:positionV>
                <wp:extent cx="696150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6150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5499pt,1.65pt" to="542.6pt,1.65pt" o:allowincell="f" strokecolor="#000000" strokeweight="0.4799pt"/>
            </w:pict>
          </mc:Fallback>
        </mc:AlternateContent>
      </w:r>
    </w:p>
    <w:p>
      <w:pPr>
        <w:sectPr>
          <w:pgSz w:w="12240" w:h="15840" w:orient="portrait"/>
          <w:cols w:equalWidth="0" w:num="1">
            <w:col w:w="10740"/>
          </w:cols>
          <w:pgMar w:left="800" w:top="562" w:right="700" w:bottom="564" w:gutter="0" w:footer="0" w:header="0"/>
          <w:type w:val="continuous"/>
        </w:sectPr>
      </w:pPr>
    </w:p>
    <w:bookmarkStart w:id="2" w:name="page3"/>
    <w:bookmarkEnd w:id="2"/>
    <w:p>
      <w:pPr xmlns:w="http://schemas.openxmlformats.org/wordprocessingml/2006/main">
        <w:spacing w:after="0" w:line="202" w:lineRule="auto"/>
        <w:framePr w:w="1380" w:h="134" w:wrap="auto" w:vAnchor="page" w:hAnchor="page" w:x="6380" w:y="8931"/>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Τέλη εκτέλεσης</w:t>
      </w:r>
    </w:p>
    <w:p>
      <w:pPr xmlns:w="http://schemas.openxmlformats.org/wordprocessingml/2006/main">
        <w:spacing w:after="0" w:line="202" w:lineRule="auto"/>
        <w:framePr w:w="460" w:h="134" w:wrap="auto" w:vAnchor="page" w:hAnchor="page" w:x="7920" w:y="8931"/>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Κανένα</w:t>
      </w:r>
    </w:p>
    <w:p>
      <w:pPr xmlns:w="http://schemas.openxmlformats.org/wordprocessingml/2006/main">
        <w:spacing w:after="0" w:line="202" w:lineRule="auto"/>
        <w:framePr w:w="360" w:h="134" w:wrap="auto" w:vAnchor="page" w:hAnchor="page" w:x="10080" w:y="8931"/>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Δ/Ι</w:t>
      </w:r>
    </w:p>
    <w:p>
      <w:pPr xmlns:w="http://schemas.openxmlformats.org/wordprocessingml/2006/main">
        <w:spacing w:after="0" w:line="202" w:lineRule="auto"/>
        <w:framePr w:w="3540" w:h="134" w:wrap="auto" w:vAnchor="page" w:hAnchor="page" w:x="6380" w:y="8624"/>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Παρεμπίπτοντα έξοδα που αναλαμβάνονται υπό ειδικές συνθήκες</w:t>
      </w:r>
    </w:p>
    <w:p>
      <w:pPr xmlns:w="http://schemas.openxmlformats.org/wordprocessingml/2006/main">
        <w:spacing w:after="0" w:line="202" w:lineRule="auto"/>
        <w:framePr w:w="1340" w:h="134" w:wrap="auto" w:vAnchor="page" w:hAnchor="page" w:x="6380" w:y="8314"/>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Κόστος συναλλαγής</w:t>
      </w:r>
    </w:p>
    <w:p>
      <w:pPr xmlns:w="http://schemas.openxmlformats.org/wordprocessingml/2006/main">
        <w:spacing w:after="0" w:line="203" w:lineRule="auto"/>
        <w:framePr w:w="760" w:h="352" w:wrap="auto" w:vAnchor="page" w:hAnchor="page" w:x="10080" w:y="8096"/>
        <w:rPr>
          <w:rFonts w:ascii="Calibri" w:cs="Calibri" w:eastAsia="Calibri" w:hAnsi="Calibri"/>
          <w:sz w:val="17"/>
          <w:szCs w:val="17"/>
          <w:color w:val="auto"/>
          <w:highlight w:val="lightGray"/>
        </w:rPr>
      </w:pPr>
      <w:r>
        <w:rPr xmlns:w="http://schemas.openxmlformats.org/wordprocessingml/2006/main">
          <w:rFonts w:ascii="Calibri" w:cs="Calibri" w:eastAsia="Calibri" w:hAnsi="Calibri"/>
          <w:sz w:val="17"/>
          <w:szCs w:val="17"/>
          <w:color w:val="auto"/>
          <w:highlight w:val="lightGray"/>
        </w:rPr>
        <w:t xml:space="preserve">Μεταβλητή (σε εξέλιξη)</w:t>
      </w:r>
    </w:p>
    <w:p>
      <w:pPr xmlns:w="http://schemas.openxmlformats.org/wordprocessingml/2006/main">
        <w:spacing w:after="0" w:line="220" w:lineRule="auto"/>
        <w:framePr w:w="1960" w:h="573" w:wrap="auto" w:vAnchor="page" w:hAnchor="page" w:x="7920" w:y="7875"/>
        <w:rPr>
          <w:rFonts w:ascii="Calibri" w:cs="Calibri" w:eastAsia="Calibri" w:hAnsi="Calibri"/>
          <w:sz w:val="17"/>
          <w:szCs w:val="17"/>
          <w:color w:val="auto"/>
          <w:highlight w:val="lightGray"/>
        </w:rPr>
      </w:pPr>
      <w:r>
        <w:rPr xmlns:w="http://schemas.openxmlformats.org/wordprocessingml/2006/main">
          <w:rFonts w:ascii="Calibri" w:cs="Calibri" w:eastAsia="Calibri" w:hAnsi="Calibri"/>
          <w:sz w:val="17"/>
          <w:szCs w:val="17"/>
          <w:color w:val="auto"/>
          <w:highlight w:val="lightGray"/>
        </w:rPr>
        <w:t xml:space="preserve">Περιθώριο (οι απαιτήσεις υπόκεινται σε αλλαγή και μπορεί να διαφέρουν </w:t>
      </w:r>
      <w:r>
        <w:rPr xmlns:w="http://schemas.openxmlformats.org/wordprocessingml/2006/main">
          <w:rFonts w:ascii="Calibri" w:cs="Calibri" w:eastAsia="Calibri" w:hAnsi="Calibri"/>
          <w:sz w:val="17"/>
          <w:szCs w:val="17"/>
          <w:u w:val="single" w:color="auto"/>
          <w:color w:val="auto"/>
          <w:highlight w:val="lightGray"/>
        </w:rPr>
        <w:t xml:space="preserve">ανάλογα με τη μεσιτεία</w:t>
      </w:r>
      <w:r>
        <w:rPr xmlns:w="http://schemas.openxmlformats.org/wordprocessingml/2006/main">
          <w:rFonts w:ascii="Calibri" w:cs="Calibri" w:eastAsia="Calibri" w:hAnsi="Calibri"/>
          <w:sz w:val="17"/>
          <w:szCs w:val="17"/>
          <w:color w:val="auto"/>
          <w:highlight w:val="lightGray"/>
        </w:rPr>
        <w:t xml:space="preserve">)</w:t>
      </w:r>
    </w:p>
    <w:p>
      <w:pPr xmlns:w="http://schemas.openxmlformats.org/wordprocessingml/2006/main">
        <w:spacing w:after="0" w:line="202" w:lineRule="auto"/>
        <w:framePr w:w="360" w:h="134" w:wrap="auto" w:vAnchor="page" w:hAnchor="page" w:x="10080" w:y="7635"/>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Δ/Ι</w:t>
      </w:r>
    </w:p>
    <w:p>
      <w:pPr xmlns:w="http://schemas.openxmlformats.org/wordprocessingml/2006/main">
        <w:spacing w:after="0" w:line="192" w:lineRule="auto"/>
        <w:framePr w:w="1900" w:h="352" w:wrap="auto" w:vAnchor="page" w:hAnchor="page" w:x="7920" w:y="7417"/>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color w:val="auto"/>
          <w:highlight w:val="lightGray"/>
        </w:rPr>
        <w:t xml:space="preserve">Δεν υπάρχει </w:t>
      </w:r>
      <w:r>
        <w:rPr xmlns:w="http://schemas.openxmlformats.org/wordprocessingml/2006/main">
          <w:rFonts w:ascii="Calibri" w:cs="Calibri" w:eastAsia="Calibri" w:hAnsi="Calibri"/>
          <w:sz w:val="18"/>
          <w:szCs w:val="18"/>
          <w:u w:val="single" w:color="auto"/>
          <w:color w:val="auto"/>
          <w:highlight w:val="lightGray"/>
        </w:rPr>
        <w:t xml:space="preserve">τέλος</w:t>
      </w:r>
      <w:r>
        <w:rPr xmlns:w="http://schemas.openxmlformats.org/wordprocessingml/2006/main">
          <w:rFonts w:ascii="Calibri" w:cs="Calibri" w:eastAsia="Calibri" w:hAnsi="Calibri"/>
          <w:sz w:val="18"/>
          <w:szCs w:val="18"/>
          <w:color w:val="auto"/>
          <w:highlight w:val="lightGray"/>
        </w:rPr>
        <w:t xml:space="preserve"> διαχείρισης</w:t>
      </w:r>
    </w:p>
    <w:p>
      <w:pPr xmlns:w="http://schemas.openxmlformats.org/wordprocessingml/2006/main">
        <w:spacing w:after="0" w:line="202" w:lineRule="auto"/>
        <w:framePr w:w="1120" w:h="134" w:wrap="auto" w:vAnchor="page" w:hAnchor="page" w:x="6380" w:y="6737"/>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Τρέχον κόστος</w:t>
      </w:r>
    </w:p>
    <w:p>
      <w:pPr xmlns:w="http://schemas.openxmlformats.org/wordprocessingml/2006/main">
        <w:spacing w:after="0" w:line="216" w:lineRule="auto"/>
        <w:framePr w:w="1340" w:h="791" w:wrap="auto" w:vAnchor="page" w:hAnchor="page" w:x="6380" w:y="6977"/>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Διαχειριστικά τέλη και άλλες διοικητικές ή λειτουργικές δαπάνες</w:t>
      </w:r>
    </w:p>
    <w:p>
      <w:pPr xmlns:w="http://schemas.openxmlformats.org/wordprocessingml/2006/main">
        <w:spacing w:after="0" w:line="193" w:lineRule="auto"/>
        <w:framePr w:w="1200" w:h="355" w:wrap="auto" w:vAnchor="page" w:hAnchor="page" w:x="10080" w:y="6517"/>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Ποσό (οποιαδήποτε στιγμή)</w:t>
      </w:r>
    </w:p>
    <w:p>
      <w:pPr xmlns:w="http://schemas.openxmlformats.org/wordprocessingml/2006/main">
        <w:spacing w:after="0" w:line="202" w:lineRule="auto"/>
        <w:framePr w:w="1720" w:h="134" w:wrap="auto" w:vAnchor="page" w:hAnchor="page" w:x="7920" w:y="6279"/>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Πριμοδότηση, Επιτροπή</w:t>
      </w:r>
    </w:p>
    <w:p>
      <w:pPr xmlns:w="http://schemas.openxmlformats.org/wordprocessingml/2006/main">
        <w:spacing w:after="0" w:line="202" w:lineRule="auto"/>
        <w:framePr w:w="680" w:h="134" w:wrap="auto" w:vAnchor="page" w:hAnchor="page" w:x="10080" w:y="6279"/>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Μεταβλητή</w:t>
      </w:r>
    </w:p>
    <w:p>
      <w:pPr xmlns:w="http://schemas.openxmlformats.org/wordprocessingml/2006/main">
        <w:spacing w:after="0" w:line="202" w:lineRule="auto"/>
        <w:framePr w:w="680" w:h="134" w:wrap="auto" w:vAnchor="page" w:hAnchor="page" w:x="10080" w:y="5600"/>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Μεταβλητή</w:t>
      </w:r>
    </w:p>
    <w:p>
      <w:pPr xmlns:w="http://schemas.openxmlformats.org/wordprocessingml/2006/main">
        <w:spacing w:after="0" w:line="221" w:lineRule="auto"/>
        <w:framePr w:w="1260" w:h="575" w:wrap="auto" w:vAnchor="page" w:hAnchor="page" w:x="6380" w:y="5158"/>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Κόστος εισόδου (ανά συναλλαγή - άνοιγμα (καταχώριση))</w:t>
      </w:r>
    </w:p>
    <w:p>
      <w:pPr xmlns:w="http://schemas.openxmlformats.org/wordprocessingml/2006/main">
        <w:spacing w:after="0" w:line="221" w:lineRule="auto"/>
        <w:framePr w:w="1120" w:h="575" w:wrap="auto" w:vAnchor="page" w:hAnchor="page" w:x="6380" w:y="5837"/>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Κόστος εξόδου (ανά συναλλαγή - κλείσιμο (έξοδος))</w:t>
      </w:r>
    </w:p>
    <w:p>
      <w:pPr xmlns:w="http://schemas.openxmlformats.org/wordprocessingml/2006/main">
        <w:spacing w:after="0" w:line="202" w:lineRule="auto"/>
        <w:framePr w:w="1220" w:h="134" w:wrap="auto" w:vAnchor="page" w:hAnchor="page" w:x="10080" w:y="4700"/>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Ποσό (Αρχικό)</w:t>
      </w:r>
    </w:p>
    <w:p>
      <w:pPr xmlns:w="http://schemas.openxmlformats.org/wordprocessingml/2006/main">
        <w:spacing w:after="0" w:line="202" w:lineRule="auto"/>
        <w:framePr w:w="2420" w:h="134" w:wrap="auto" w:vAnchor="page" w:hAnchor="page" w:x="6380" w:y="4700"/>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Εφάπαξ κόστος κατά την είσοδο ή την έξοδο</w:t>
      </w:r>
    </w:p>
    <w:p>
      <w:pPr xmlns:w="http://schemas.openxmlformats.org/wordprocessingml/2006/main">
        <w:spacing w:after="0" w:line="229" w:lineRule="auto"/>
        <w:framePr w:w="1920" w:h="794" w:wrap="auto" w:vAnchor="page" w:hAnchor="page" w:x="7920" w:y="4940"/>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Ασφάλιστρο (που καθορίζεται από τον αγοραστή και τον πωλητή), Προμήθεια (που καθορίζεται από την εταιρεία μεσιτείας)</w:t>
      </w:r>
    </w:p>
    <w:p>
      <w:pPr xmlns:w="http://schemas.openxmlformats.org/wordprocessingml/2006/main">
        <w:spacing w:after="0" w:line="189" w:lineRule="auto"/>
        <w:framePr w:w="1660" w:h="125" w:wrap="auto" w:vAnchor="page" w:hAnchor="page" w:x="6380" w:y="4437"/>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Σύνθεση των εξόδων</w:t>
      </w:r>
    </w:p>
    <w:p>
      <w:pPr xmlns:w="http://schemas.openxmlformats.org/wordprocessingml/2006/main">
        <w:spacing w:after="0" w:line="202" w:lineRule="auto"/>
        <w:framePr w:w="1500" w:h="134" w:wrap="auto" w:vAnchor="page" w:hAnchor="page" w:x="6380" w:y="3910"/>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Ετήσιος αντίκτυπος κόστους</w:t>
      </w:r>
    </w:p>
    <w:p>
      <w:pPr xmlns:w="http://schemas.openxmlformats.org/wordprocessingml/2006/main">
        <w:spacing w:after="0" w:line="202" w:lineRule="auto"/>
        <w:framePr w:w="620" w:h="134" w:wrap="auto" w:vAnchor="page" w:hAnchor="page" w:x="10080" w:y="3910"/>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Διάφορα</w:t>
      </w:r>
    </w:p>
    <w:p>
      <w:pPr xmlns:w="http://schemas.openxmlformats.org/wordprocessingml/2006/main">
        <w:spacing w:after="0" w:line="202" w:lineRule="auto"/>
        <w:framePr w:w="880" w:h="134" w:wrap="auto" w:vAnchor="page" w:hAnchor="page" w:x="6380" w:y="3639"/>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Συνολικές δαπάνες</w:t>
      </w:r>
    </w:p>
    <w:p>
      <w:pPr xmlns:w="http://schemas.openxmlformats.org/wordprocessingml/2006/main">
        <w:spacing w:after="0" w:line="202" w:lineRule="auto"/>
        <w:framePr w:w="620" w:h="134" w:wrap="auto" w:vAnchor="page" w:hAnchor="page" w:x="10080" w:y="3639"/>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Διάφορα</w:t>
      </w:r>
    </w:p>
    <w:p>
      <w:pPr xmlns:w="http://schemas.openxmlformats.org/wordprocessingml/2006/main">
        <w:spacing w:after="0" w:line="189" w:lineRule="auto"/>
        <w:framePr w:w="1300" w:h="125" w:wrap="auto" w:vAnchor="page" w:hAnchor="page" w:x="6380" w:y="3379"/>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Διαχρονικά κόστη</w:t>
      </w:r>
    </w:p>
    <w:p>
      <w:pPr xmlns:w="http://schemas.openxmlformats.org/wordprocessingml/2006/main">
        <w:spacing w:after="0" w:line="202" w:lineRule="auto"/>
        <w:framePr w:w="800" w:h="134" w:wrap="auto" w:vAnchor="page" w:hAnchor="page" w:x="10080" w:y="3370"/>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Αν βγείτε</w:t>
      </w:r>
    </w:p>
    <w:p>
      <w:pPr xmlns:w="http://schemas.openxmlformats.org/wordprocessingml/2006/main">
        <w:ind w:left="22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368300</wp:posOffset>
                </wp:positionV>
                <wp:extent cx="696214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9pt" to="582.6pt,2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4015740</wp:posOffset>
                </wp:positionH>
                <wp:positionV relativeFrom="page">
                  <wp:posOffset>2096770</wp:posOffset>
                </wp:positionV>
                <wp:extent cx="2330450" cy="15875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330450" cy="158750"/>
                        </a:xfrm>
                        <a:prstGeom prst="rect">
                          <a:avLst/>
                        </a:prstGeom>
                        <a:solidFill>
                          <a:srgbClr val="DADADA"/>
                        </a:solidFill>
                      </wps:spPr>
                      <wps:bodyPr/>
                    </wps:wsp>
                  </a:graphicData>
                </a:graphic>
              </wp:anchor>
            </w:drawing>
          </mc:Choice>
          <mc:Fallback>
            <w:pict>
              <v:rect xmlns:v="urn:schemas-microsoft-com:vml" id="Shape 22" o:spid="_x0000_s1047" style="position:absolute;margin-left:316.2pt;margin-top:165.1pt;width:183.5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4076700</wp:posOffset>
                </wp:positionH>
                <wp:positionV relativeFrom="page">
                  <wp:posOffset>2115185</wp:posOffset>
                </wp:positionV>
                <wp:extent cx="2206625" cy="13970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206625" cy="139700"/>
                        </a:xfrm>
                        <a:prstGeom prst="rect">
                          <a:avLst/>
                        </a:prstGeom>
                        <a:solidFill>
                          <a:srgbClr val="DADADA"/>
                        </a:solidFill>
                      </wps:spPr>
                      <wps:bodyPr/>
                    </wps:wsp>
                  </a:graphicData>
                </a:graphic>
              </wp:anchor>
            </w:drawing>
          </mc:Choice>
          <mc:Fallback>
            <w:pict>
              <v:rect xmlns:v="urn:schemas-microsoft-com:vml" id="Shape 23" o:spid="_x0000_s1048" style="position:absolute;margin-left:321pt;margin-top:166.55pt;width:173.75pt;height:1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6351905</wp:posOffset>
                </wp:positionH>
                <wp:positionV relativeFrom="page">
                  <wp:posOffset>2096770</wp:posOffset>
                </wp:positionV>
                <wp:extent cx="958850" cy="15875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958850" cy="158750"/>
                        </a:xfrm>
                        <a:prstGeom prst="rect">
                          <a:avLst/>
                        </a:prstGeom>
                        <a:solidFill>
                          <a:srgbClr val="DADADA"/>
                        </a:solidFill>
                      </wps:spPr>
                      <wps:bodyPr/>
                    </wps:wsp>
                  </a:graphicData>
                </a:graphic>
              </wp:anchor>
            </w:drawing>
          </mc:Choice>
          <mc:Fallback>
            <w:pict>
              <v:rect xmlns:v="urn:schemas-microsoft-com:vml" id="Shape 24" o:spid="_x0000_s1049" style="position:absolute;margin-left:500.15pt;margin-top:165.1pt;width:75.5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6420485</wp:posOffset>
                </wp:positionH>
                <wp:positionV relativeFrom="page">
                  <wp:posOffset>2115185</wp:posOffset>
                </wp:positionV>
                <wp:extent cx="827405" cy="13970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827405" cy="139700"/>
                        </a:xfrm>
                        <a:prstGeom prst="rect">
                          <a:avLst/>
                        </a:prstGeom>
                        <a:solidFill>
                          <a:srgbClr val="DADADA"/>
                        </a:solidFill>
                      </wps:spPr>
                      <wps:bodyPr/>
                    </wps:wsp>
                  </a:graphicData>
                </a:graphic>
              </wp:anchor>
            </w:drawing>
          </mc:Choice>
          <mc:Fallback>
            <w:pict>
              <v:rect xmlns:v="urn:schemas-microsoft-com:vml" id="Shape 25" o:spid="_x0000_s1050" style="position:absolute;margin-left:505.55pt;margin-top:166.55pt;width:65.15pt;height:1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4001770</wp:posOffset>
                </wp:positionH>
                <wp:positionV relativeFrom="page">
                  <wp:posOffset>2089150</wp:posOffset>
                </wp:positionV>
                <wp:extent cx="332105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5.1pt,164.5pt" to="576.6pt,164.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4001770</wp:posOffset>
                </wp:positionH>
                <wp:positionV relativeFrom="page">
                  <wp:posOffset>2261235</wp:posOffset>
                </wp:positionV>
                <wp:extent cx="332105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5.1pt,178.05pt" to="576.6pt,178.0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4001770</wp:posOffset>
                </wp:positionH>
                <wp:positionV relativeFrom="page">
                  <wp:posOffset>2432050</wp:posOffset>
                </wp:positionV>
                <wp:extent cx="332105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5.1pt,191.5pt" to="576.6pt,191.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6351905</wp:posOffset>
                </wp:positionH>
                <wp:positionV relativeFrom="page">
                  <wp:posOffset>2077085</wp:posOffset>
                </wp:positionV>
                <wp:extent cx="0" cy="52705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00.15pt,163.55pt" to="500.15pt,205.0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7316470</wp:posOffset>
                </wp:positionH>
                <wp:positionV relativeFrom="page">
                  <wp:posOffset>2077085</wp:posOffset>
                </wp:positionV>
                <wp:extent cx="0" cy="52705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6.1pt,163.55pt" to="576.1pt,205.0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4007485</wp:posOffset>
                </wp:positionH>
                <wp:positionV relativeFrom="page">
                  <wp:posOffset>2077085</wp:posOffset>
                </wp:positionV>
                <wp:extent cx="0" cy="52705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5.55pt,163.55pt" to="315.55pt,205.0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2079625</wp:posOffset>
                </wp:positionV>
                <wp:extent cx="6962140" cy="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163.75pt" to="582.6pt,163.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6009005</wp:posOffset>
                </wp:positionV>
                <wp:extent cx="6962140"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473.15pt" to="582.6pt,473.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7549515</wp:posOffset>
                </wp:positionV>
                <wp:extent cx="6962140" cy="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594.45pt" to="582.6pt,594.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365125</wp:posOffset>
                </wp:positionV>
                <wp:extent cx="0" cy="8961755"/>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7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5" o:spid="_x0000_s106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28.75pt" to="34.65pt,73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7395845</wp:posOffset>
                </wp:positionH>
                <wp:positionV relativeFrom="page">
                  <wp:posOffset>365125</wp:posOffset>
                </wp:positionV>
                <wp:extent cx="0" cy="8961755"/>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7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6" o:spid="_x0000_s106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2.35pt,28.75pt" to="582.35pt,73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του OCC έχουν σχεδιαστεί έτσι ώστε η απόδοση σε όλα τα δικαιώματα προαίρεσης συμβολαίων μελλοντικής εκπλήρωσης να είναι μεταξύ του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συμβολαίων μελλοντικής εκπλήρωσης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OCC μπορεί να μην έχει επαρκείς οικονομικούς πόρους για να διευθετήσει τις υποχρεώσεις και μπορεί να υποστείτε απώλεια μέχρι οποιοδήποτε ποσό που σας οφείλεται.</w:t>
      </w:r>
    </w:p>
    <w:p>
      <w:pPr>
        <w:spacing w:after="0" w:line="7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8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άτομο που σας συμβουλεύει ή σας πουλάει αυτό το προϊόν μπορεί να σας χρεώσει άλλα έξοδα.</w:t>
      </w:r>
      <w:r>
        <w:rPr xmlns:w="http://schemas.openxmlformats.org/wordprocessingml/2006/main">
          <w:rFonts w:ascii="Calibri" w:cs="Calibri" w:eastAsia="Calibri" w:hAnsi="Calibri"/>
          <w:sz w:val="22"/>
          <w:szCs w:val="22"/>
          <w:color w:val="auto"/>
        </w:rPr>
        <w:t xml:space="preserve"> Αν ναι, αυτό το άτομο</w:t>
      </w:r>
    </w:p>
    <w:p>
      <w:pPr>
        <w:spacing w:after="0" w:line="6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70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θα σας παρέχει πληροφορίες σχετικά με αυτές τις δαπάνες και τον τρόπο που αυτές επηρεάζουν την επένδυσή σας.</w:t>
      </w:r>
      <w:r>
        <w:rPr xmlns:w="http://schemas.openxmlformats.org/wordprocessingml/2006/main">
          <w:rFonts w:ascii="Calibri" w:cs="Calibri" w:eastAsia="Calibri" w:hAnsi="Calibri"/>
          <w:sz w:val="22"/>
          <w:szCs w:val="22"/>
          <w:color w:val="auto"/>
        </w:rPr>
        <w:t xml:space="preserve"> Συνολικό κόστος για</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3633470</wp:posOffset>
                </wp:positionH>
                <wp:positionV relativeFrom="paragraph">
                  <wp:posOffset>-149860</wp:posOffset>
                </wp:positionV>
                <wp:extent cx="3321050" cy="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7" o:spid="_x0000_s106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11.7999pt" to="547.6pt,-11.7999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3647440</wp:posOffset>
                </wp:positionH>
                <wp:positionV relativeFrom="paragraph">
                  <wp:posOffset>17780</wp:posOffset>
                </wp:positionV>
                <wp:extent cx="3295015" cy="158115"/>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95015" cy="158115"/>
                        </a:xfrm>
                        <a:prstGeom prst="rect">
                          <a:avLst/>
                        </a:prstGeom>
                        <a:solidFill>
                          <a:srgbClr val="DADADA"/>
                        </a:solidFill>
                      </wps:spPr>
                      <wps:bodyPr/>
                    </wps:wsp>
                  </a:graphicData>
                </a:graphic>
              </wp:anchor>
            </w:drawing>
          </mc:Choice>
          <mc:Fallback>
            <w:pict>
              <v:rect id="Shape 38" o:spid="_x0000_s1063" style="position:absolute;margin-left:287.2pt;margin-top:1.4pt;width:259.4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3708400</wp:posOffset>
                </wp:positionH>
                <wp:positionV relativeFrom="paragraph">
                  <wp:posOffset>36830</wp:posOffset>
                </wp:positionV>
                <wp:extent cx="3171190" cy="139065"/>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71190" cy="139065"/>
                        </a:xfrm>
                        <a:prstGeom prst="rect">
                          <a:avLst/>
                        </a:prstGeom>
                        <a:solidFill>
                          <a:srgbClr val="DADADA"/>
                        </a:solidFill>
                      </wps:spPr>
                      <wps:bodyPr/>
                    </wps:wsp>
                  </a:graphicData>
                </a:graphic>
              </wp:anchor>
            </w:drawing>
          </mc:Choice>
          <mc:Fallback>
            <w:pict>
              <v:rect id="Shape 39" o:spid="_x0000_s1064" style="position:absolute;margin-left:292pt;margin-top:2.9pt;width:249.7pt;height:1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13970</wp:posOffset>
                </wp:positionV>
                <wp:extent cx="3321050" cy="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0" o:spid="_x0000_s106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1.1pt" to="547.6pt,1.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181610</wp:posOffset>
                </wp:positionV>
                <wp:extent cx="3321050" cy="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1" o:spid="_x0000_s106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14.3pt" to="547.6pt,14.3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354330</wp:posOffset>
                </wp:positionV>
                <wp:extent cx="3321050" cy="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2" o:spid="_x0000_s106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27.9pt" to="547.6pt,27.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925830</wp:posOffset>
                </wp:positionV>
                <wp:extent cx="3321050" cy="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3" o:spid="_x0000_s106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72.9pt" to="547.6pt,72.9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4612005</wp:posOffset>
                </wp:positionH>
                <wp:positionV relativeFrom="paragraph">
                  <wp:posOffset>347980</wp:posOffset>
                </wp:positionV>
                <wp:extent cx="0" cy="101473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4730"/>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4" o:spid="_x0000_s106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3.15pt,27.4pt" to="363.15pt,107.3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1356995</wp:posOffset>
                </wp:positionV>
                <wp:extent cx="3321050" cy="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106.85pt" to="547.6pt,106.8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1647825</wp:posOffset>
                </wp:positionV>
                <wp:extent cx="3321050" cy="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6" o:spid="_x0000_s107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129.75pt" to="547.6pt,129.7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2218055</wp:posOffset>
                </wp:positionV>
                <wp:extent cx="3321050" cy="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7" o:spid="_x0000_s107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174.65pt" to="547.6pt,174.6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4612005</wp:posOffset>
                </wp:positionH>
                <wp:positionV relativeFrom="paragraph">
                  <wp:posOffset>1642110</wp:posOffset>
                </wp:positionV>
                <wp:extent cx="0" cy="101346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3460"/>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8" o:spid="_x0000_s107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3.15pt,129.3pt" to="363.15pt,209.1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2649220</wp:posOffset>
                </wp:positionV>
                <wp:extent cx="3321050" cy="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9" o:spid="_x0000_s107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208.6pt" to="547.6pt,208.6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2846070</wp:posOffset>
                </wp:positionV>
                <wp:extent cx="3321050" cy="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0" o:spid="_x0000_s107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224.1pt" to="547.6pt,224.1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3639185</wp:posOffset>
                </wp:positionH>
                <wp:positionV relativeFrom="paragraph">
                  <wp:posOffset>11430</wp:posOffset>
                </wp:positionV>
                <wp:extent cx="0" cy="303530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1" o:spid="_x0000_s107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55pt,0.9pt" to="286.55pt,23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6948170</wp:posOffset>
                </wp:positionH>
                <wp:positionV relativeFrom="paragraph">
                  <wp:posOffset>11430</wp:posOffset>
                </wp:positionV>
                <wp:extent cx="0" cy="303530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2" o:spid="_x0000_s107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47.1pt,0.9pt" to="547.1pt,239.9pt" o:allowincell="f" strokecolor="#000000" strokeweight="0.9599pt"/>
            </w:pict>
          </mc:Fallback>
        </mc:AlternateContent>
      </w:r>
    </w:p>
    <w:p>
      <w:pPr>
        <w:spacing w:after="0" w:line="4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4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οι επιλογές συμβολαίων μελλοντικής εκπλήρωσης εξαρτώνται από πολλαπλούς παράγοντες.</w:t>
      </w:r>
      <w:r>
        <w:rPr xmlns:w="http://schemas.openxmlformats.org/wordprocessingml/2006/main">
          <w:rFonts w:ascii="Calibri" w:cs="Calibri" w:eastAsia="Calibri" w:hAnsi="Calibri"/>
          <w:sz w:val="22"/>
          <w:szCs w:val="22"/>
          <w:color w:val="auto"/>
        </w:rPr>
        <w:t xml:space="preserve"> Το ασφάλιστρο ενός δικαιώματος προαίρεσης είναι το κόστος που καταβάλλει ο κάτοχος στο συγγραφέα.</w:t>
      </w:r>
      <w:r>
        <w:rPr xmlns:w="http://schemas.openxmlformats.org/wordprocessingml/2006/main">
          <w:rFonts w:ascii="Calibri" w:cs="Calibri" w:eastAsia="Calibri" w:hAnsi="Calibri"/>
          <w:sz w:val="22"/>
          <w:szCs w:val="22"/>
          <w:color w:val="auto"/>
        </w:rPr>
        <w:t xml:space="preserve"> Στους παράγοντες που επηρεάζουν σημαντικά την πριμοδότηση περιλαμβάνονται, μεταξύ άλλων, η αξία του υποκείμενου επιτοκίου, ο χρόνος μέχρι τη λήξη και η τιμή άσκησης.</w:t>
      </w:r>
      <w:r>
        <w:rPr xmlns:w="http://schemas.openxmlformats.org/wordprocessingml/2006/main">
          <w:rFonts w:ascii="Calibri" w:cs="Calibri" w:eastAsia="Calibri" w:hAnsi="Calibri"/>
          <w:sz w:val="22"/>
          <w:szCs w:val="22"/>
          <w:color w:val="auto"/>
        </w:rPr>
        <w:t xml:space="preserve"> Τα δικαιώματα προαίρεσης που επενδύουν περιλαμβάνουν πρόσθετο κόστος που περιλαμβάνει φορολογικές εκτιμήσεις, κόστος συναλλαγής και απαιτήσεις περιθωρίου κέρδους που μπορούν να επηρεάσουν σημαντικά τα αποτελέσματα.</w:t>
      </w:r>
      <w:r>
        <w:rPr xmlns:w="http://schemas.openxmlformats.org/wordprocessingml/2006/main">
          <w:rFonts w:ascii="Calibri" w:cs="Calibri" w:eastAsia="Calibri" w:hAnsi="Calibri"/>
          <w:sz w:val="22"/>
          <w:szCs w:val="22"/>
          <w:color w:val="auto"/>
        </w:rPr>
        <w:t xml:space="preserve"> Το κόστος της συναλλαγής αποτελείται κυρίως από προμήθειες (οι οποίες επιβάλλονται κατά το άνοιγμα,</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3647440</wp:posOffset>
                </wp:positionH>
                <wp:positionV relativeFrom="paragraph">
                  <wp:posOffset>-1342390</wp:posOffset>
                </wp:positionV>
                <wp:extent cx="2330450" cy="158115"/>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30450" cy="158115"/>
                        </a:xfrm>
                        <a:prstGeom prst="rect">
                          <a:avLst/>
                        </a:prstGeom>
                        <a:solidFill>
                          <a:srgbClr val="DADADA"/>
                        </a:solidFill>
                      </wps:spPr>
                      <wps:bodyPr/>
                    </wps:wsp>
                  </a:graphicData>
                </a:graphic>
              </wp:anchor>
            </w:drawing>
          </mc:Choice>
          <mc:Fallback>
            <w:pict>
              <v:rect id="Shape 53" o:spid="_x0000_s1078" style="position:absolute;margin-left:287.2pt;margin-top:-105.6999pt;width:183.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3708400</wp:posOffset>
                </wp:positionH>
                <wp:positionV relativeFrom="paragraph">
                  <wp:posOffset>-1324610</wp:posOffset>
                </wp:positionV>
                <wp:extent cx="2206625" cy="140335"/>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6625" cy="140335"/>
                        </a:xfrm>
                        <a:prstGeom prst="rect">
                          <a:avLst/>
                        </a:prstGeom>
                        <a:solidFill>
                          <a:srgbClr val="DADADA"/>
                        </a:solidFill>
                      </wps:spPr>
                      <wps:bodyPr/>
                    </wps:wsp>
                  </a:graphicData>
                </a:graphic>
              </wp:anchor>
            </w:drawing>
          </mc:Choice>
          <mc:Fallback>
            <w:pict>
              <v:rect id="Shape 54" o:spid="_x0000_s1079" style="position:absolute;margin-left:292pt;margin-top:-104.2999pt;width:173.7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5983605</wp:posOffset>
                </wp:positionH>
                <wp:positionV relativeFrom="paragraph">
                  <wp:posOffset>-1342390</wp:posOffset>
                </wp:positionV>
                <wp:extent cx="958850" cy="158115"/>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850" cy="158115"/>
                        </a:xfrm>
                        <a:prstGeom prst="rect">
                          <a:avLst/>
                        </a:prstGeom>
                        <a:solidFill>
                          <a:srgbClr val="DADADA"/>
                        </a:solidFill>
                      </wps:spPr>
                      <wps:bodyPr/>
                    </wps:wsp>
                  </a:graphicData>
                </a:graphic>
              </wp:anchor>
            </w:drawing>
          </mc:Choice>
          <mc:Fallback>
            <w:pict>
              <v:rect id="Shape 55" o:spid="_x0000_s1080" style="position:absolute;margin-left:471.15pt;margin-top:-105.6999pt;width:75.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6052185</wp:posOffset>
                </wp:positionH>
                <wp:positionV relativeFrom="paragraph">
                  <wp:posOffset>-1324610</wp:posOffset>
                </wp:positionV>
                <wp:extent cx="827405" cy="140335"/>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7405" cy="140335"/>
                        </a:xfrm>
                        <a:prstGeom prst="rect">
                          <a:avLst/>
                        </a:prstGeom>
                        <a:solidFill>
                          <a:srgbClr val="DADADA"/>
                        </a:solidFill>
                      </wps:spPr>
                      <wps:bodyPr/>
                    </wps:wsp>
                  </a:graphicData>
                </a:graphic>
              </wp:anchor>
            </w:drawing>
          </mc:Choice>
          <mc:Fallback>
            <w:pict>
              <v:rect id="Shape 56" o:spid="_x0000_s1081" style="position:absolute;margin-left:476.55pt;margin-top:-104.2999pt;width:65.1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3647440</wp:posOffset>
                </wp:positionH>
                <wp:positionV relativeFrom="paragraph">
                  <wp:posOffset>-168910</wp:posOffset>
                </wp:positionV>
                <wp:extent cx="2330450" cy="27813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30450" cy="278130"/>
                        </a:xfrm>
                        <a:prstGeom prst="rect">
                          <a:avLst/>
                        </a:prstGeom>
                        <a:solidFill>
                          <a:srgbClr val="DADADA"/>
                        </a:solidFill>
                      </wps:spPr>
                      <wps:bodyPr/>
                    </wps:wsp>
                  </a:graphicData>
                </a:graphic>
              </wp:anchor>
            </w:drawing>
          </mc:Choice>
          <mc:Fallback>
            <w:pict>
              <v:rect id="Shape 57" o:spid="_x0000_s1082" style="position:absolute;margin-left:287.2pt;margin-top:-13.2999pt;width:183.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3708400</wp:posOffset>
                </wp:positionH>
                <wp:positionV relativeFrom="paragraph">
                  <wp:posOffset>-21590</wp:posOffset>
                </wp:positionV>
                <wp:extent cx="2206625" cy="130175"/>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6625" cy="130175"/>
                        </a:xfrm>
                        <a:prstGeom prst="rect">
                          <a:avLst/>
                        </a:prstGeom>
                        <a:solidFill>
                          <a:srgbClr val="DADADA"/>
                        </a:solidFill>
                      </wps:spPr>
                      <wps:bodyPr/>
                    </wps:wsp>
                  </a:graphicData>
                </a:graphic>
              </wp:anchor>
            </w:drawing>
          </mc:Choice>
          <mc:Fallback>
            <w:pict>
              <v:rect id="Shape 58" o:spid="_x0000_s1083" style="position:absolute;margin-left:292pt;margin-top:-1.6999pt;width:173.75pt;height:10.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5983605</wp:posOffset>
                </wp:positionH>
                <wp:positionV relativeFrom="paragraph">
                  <wp:posOffset>-168910</wp:posOffset>
                </wp:positionV>
                <wp:extent cx="958850" cy="27813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850" cy="278130"/>
                        </a:xfrm>
                        <a:prstGeom prst="rect">
                          <a:avLst/>
                        </a:prstGeom>
                        <a:solidFill>
                          <a:srgbClr val="DADADA"/>
                        </a:solidFill>
                      </wps:spPr>
                      <wps:bodyPr/>
                    </wps:wsp>
                  </a:graphicData>
                </a:graphic>
              </wp:anchor>
            </w:drawing>
          </mc:Choice>
          <mc:Fallback>
            <w:pict>
              <v:rect id="Shape 59" o:spid="_x0000_s1084" style="position:absolute;margin-left:471.15pt;margin-top:-13.2999pt;width:75.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5983605</wp:posOffset>
                </wp:positionH>
                <wp:positionV relativeFrom="paragraph">
                  <wp:posOffset>1123950</wp:posOffset>
                </wp:positionV>
                <wp:extent cx="958850" cy="18288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850" cy="182880"/>
                        </a:xfrm>
                        <a:prstGeom prst="rect">
                          <a:avLst/>
                        </a:prstGeom>
                        <a:solidFill>
                          <a:srgbClr val="DADADA"/>
                        </a:solidFill>
                      </wps:spPr>
                      <wps:bodyPr/>
                    </wps:wsp>
                  </a:graphicData>
                </a:graphic>
              </wp:anchor>
            </w:drawing>
          </mc:Choice>
          <mc:Fallback>
            <w:pict>
              <v:rect id="Shape 60" o:spid="_x0000_s1085" style="position:absolute;margin-left:471.15pt;margin-top:88.5pt;width:75.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6052185</wp:posOffset>
                </wp:positionH>
                <wp:positionV relativeFrom="paragraph">
                  <wp:posOffset>1170940</wp:posOffset>
                </wp:positionV>
                <wp:extent cx="827405" cy="13589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7405" cy="135890"/>
                        </a:xfrm>
                        <a:prstGeom prst="rect">
                          <a:avLst/>
                        </a:prstGeom>
                        <a:solidFill>
                          <a:srgbClr val="DADADA"/>
                        </a:solidFill>
                      </wps:spPr>
                      <wps:bodyPr/>
                    </wps:wsp>
                  </a:graphicData>
                </a:graphic>
              </wp:anchor>
            </w:drawing>
          </mc:Choice>
          <mc:Fallback>
            <w:pict>
              <v:rect id="Shape 61" o:spid="_x0000_s1086" style="position:absolute;margin-left:476.55pt;margin-top:92.2pt;width:65.15pt;height:10.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5983605</wp:posOffset>
                </wp:positionH>
                <wp:positionV relativeFrom="paragraph">
                  <wp:posOffset>-1356360</wp:posOffset>
                </wp:positionV>
                <wp:extent cx="0" cy="287020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870200"/>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62" o:spid="_x0000_s108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1.15pt,-106.7999pt" to="471.15pt,119.2pt" o:allowincell="f" strokecolor="#000000" strokeweight="0.96pt"/>
            </w:pict>
          </mc:Fallback>
        </mc:AlternateContent>
      </w:r>
    </w:p>
    <w:p>
      <w:pPr>
        <w:spacing w:after="0" w:line="5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6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συναλλαγές κλεισίματος, άσκησης και εκχώρησης), αλλά μπορεί επίσης να περιλαμβάνει το κόστος περιθωρίου και τόκων.</w:t>
      </w:r>
      <w:r>
        <w:rPr xmlns:w="http://schemas.openxmlformats.org/wordprocessingml/2006/main">
          <w:rFonts w:ascii="Calibri" w:cs="Calibri" w:eastAsia="Calibri" w:hAnsi="Calibri"/>
          <w:sz w:val="22"/>
          <w:szCs w:val="22"/>
          <w:color w:val="auto"/>
        </w:rPr>
        <w:t xml:space="preserve"> Περιθώριο (margin): τα περιουσιακά στοιχεία που πρέπει να κατατεθούν από ένα συγγραφέα στην εταιρεία διαμεσολάβησης ως ασφάλεια για την υποχρέωση, ανάλογα με την περίπτωση, να αγοράσει ή να πωλήσει το υποκείμενο επιτόκιο ή να πληρώσει το ποσό του διακανονισμού σε μετρητά.</w:t>
      </w:r>
      <w:r>
        <w:rPr xmlns:w="http://schemas.openxmlformats.org/wordprocessingml/2006/main">
          <w:rFonts w:ascii="Calibri" w:cs="Calibri" w:eastAsia="Calibri" w:hAnsi="Calibri"/>
          <w:sz w:val="22"/>
          <w:szCs w:val="22"/>
          <w:color w:val="auto"/>
        </w:rPr>
        <w:t xml:space="preserve"> Σε περίπτωση άσκησης και εκχώρησης δικαιώματος προαίρεσης, ο συγγραφέας μπορεί να επιβαρυνθεί με πρόσθετες δαπάνες που αφορούν</w:t>
      </w:r>
    </w:p>
    <w:p>
      <w:pPr>
        <w:spacing w:after="0" w:line="7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5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υποκείμενη σύμβαση συμβολαίων μελλοντικής εκπλήρωσης.</w:t>
      </w:r>
      <w:r>
        <w:rPr xmlns:w="http://schemas.openxmlformats.org/wordprocessingml/2006/main">
          <w:rFonts w:ascii="Calibri" w:cs="Calibri" w:eastAsia="Calibri" w:hAnsi="Calibri"/>
          <w:sz w:val="22"/>
          <w:szCs w:val="22"/>
          <w:color w:val="auto"/>
        </w:rPr>
        <w:t xml:space="preserve"> Εκτός από το κόστος των επενδυτών, το OCC χρεώνει τα σχετικά τέλη για την εκκαθάριση αυτού του</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4612005</wp:posOffset>
                </wp:positionH>
                <wp:positionV relativeFrom="paragraph">
                  <wp:posOffset>-229235</wp:posOffset>
                </wp:positionV>
                <wp:extent cx="0" cy="207645"/>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7645"/>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63" o:spid="_x0000_s108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3.15pt,-18.0499pt" to="363.15pt,-1.6999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-27940</wp:posOffset>
                </wp:positionV>
                <wp:extent cx="3321050" cy="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4" o:spid="_x0000_s108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2.1999pt" to="547.6pt,-2.1999pt" o:allowincell="f" strokecolor="#000000" strokeweight="0.9599pt"/>
            </w:pict>
          </mc:Fallback>
        </mc:AlternateConten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εκκαθαριστικά μέλη αλλά όχι απευθείας σε εσάς: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για συμβόλαια μελλοντικής εκπλήρωσης αποτελεί βασική επενδυτική απόφαση για τον κάτοχο, όπως είναι και η απόφαση τόσο για τους κατόχους δικαιωμάτων προαίρεσης όσο και για τους συγγραφείς να κλείσουν μια υπάρχουσα θέση δικαιώματος προαίρεσης πριν από τη λήξη του δικαιώματος ή ασκηθεί και ανατεθεί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ασκούν το συμβόλαιο μελλοντικής εκπλήρωσης δικαιωμάτων προαίρεσης ή αν θα κλείνουν μια υπάρχουσα θέση.</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σε συμβόλαια μελλοντικής εκπλήρωσης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40"/>
        <w:spacing w:after="0" w:line="225"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auto"/>
        </w:rPr>
        <w:t xml:space="preserve">),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auto"/>
        </w:rPr>
        <w:t xml:space="preserve">), στην NFA (</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ή στην CFTC (</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pacing w:after="0" w:line="5" w:lineRule="exact"/>
        <w:rPr>
          <w:rFonts w:ascii="Calibri" w:cs="Calibri" w:eastAsia="Calibri" w:hAnsi="Calibri"/>
          <w:sz w:val="13"/>
          <w:szCs w:val="13"/>
          <w:b w:val="1"/>
          <w:bCs w:val="1"/>
          <w:u w:val="single" w:color="auto"/>
          <w:color w:val="auto"/>
          <w:highlight w:val="lightGray"/>
        </w:rPr>
      </w:pPr>
    </w:p>
    <w:tbl>
      <w:tblPr>
        <w:tblLayout w:type="fixed"/>
        <w:tblInd w:w="320" w:type="dxa"/>
        <w:tblCellMar>
          <w:top w:w="0" w:type="dxa"/>
          <w:left w:w="0" w:type="dxa"/>
          <w:bottom w:w="0" w:type="dxa"/>
          <w:right w:w="0" w:type="dxa"/>
        </w:tblCellMar>
      </w:tblPr>
      <w:tr>
        <w:trPr>
          <w:trHeight w:val="244"/>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Καταγγελία επενδυτή της FINRA</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Τίτλοι και χρηματιστήρια Η.Π.Α.</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Εθνική Ένωση Συμβολαίων Μελλοντικής Εκπλήρωσης</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w w:val="98"/>
              </w:rPr>
              <w:t xml:space="preserve">Συμβόλαια μελλοντικής εκπλήρωσης επί βασικών εμπορευμάτων Η.Π.Α.</w:t>
            </w:r>
          </w:p>
        </w:tc>
      </w:tr>
      <w:tr>
        <w:trPr>
          <w:trHeight w:val="242"/>
        </w:trPr>
        <w:tc>
          <w:tcPr>
            <w:tcW w:w="236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Κέντρο</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Επιτροπή/Γραφείο</w:t>
            </w:r>
          </w:p>
        </w:tc>
        <w:tc>
          <w:tcPr>
            <w:tcW w:w="258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r>
          </w:p>
        </w:tc>
        <w:tc>
          <w:tcPr>
            <w:tcW w:w="210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Εμπορική Επιτροπή</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9509 Κι Γουέστ Άβενιου</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Εκπαίδευση και</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Σικάγο, IL 60606-6615</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Κέντρο Three Lafayette</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Rockville, MD 20850-3329</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Υπεράσπιση</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312-781-1300</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1155 21η οδός, NW</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(240) 386-ΒΟΗΘΕΙΑ</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100 F Street, N.E.</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312-781-1467</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Ουάσινγκτον, DC 20581</w:t>
            </w:r>
          </w:p>
        </w:tc>
      </w:tr>
      <w:tr>
        <w:trPr>
          <w:trHeight w:val="242"/>
        </w:trPr>
        <w:tc>
          <w:tcPr>
            <w:tcW w:w="236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(4357)</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Ουάσινγκτον, DC 20549-0213</w:t>
            </w:r>
          </w:p>
        </w:tc>
        <w:tc>
          <w:tcPr>
            <w:tcW w:w="2580" w:type="dxa"/>
            <w:vAlign w:val="bottom"/>
          </w:tcPr>
          <w:p>
            <w:pPr>
              <w:spacing w:after="0"/>
              <w:rPr>
                <w:sz w:val="21"/>
                <w:szCs w:val="21"/>
                <w:color w:val="auto"/>
              </w:rPr>
            </w:pPr>
          </w:p>
        </w:tc>
        <w:tc>
          <w:tcPr>
            <w:tcW w:w="210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866-366-2382</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(86) 397-3290</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(202) 772-9295</w:t>
            </w:r>
          </w:p>
        </w:tc>
        <w:tc>
          <w:tcPr>
            <w:tcW w:w="2580" w:type="dxa"/>
            <w:vAlign w:val="bottom"/>
          </w:tcPr>
          <w:p>
            <w:pPr>
              <w:spacing w:after="0"/>
              <w:rPr>
                <w:sz w:val="21"/>
                <w:szCs w:val="21"/>
                <w:color w:val="auto"/>
              </w:rPr>
            </w:pP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202-418-521</w:t>
            </w:r>
          </w:p>
        </w:tc>
      </w:tr>
    </w:tbl>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68580</wp:posOffset>
                </wp:positionH>
                <wp:positionV relativeFrom="paragraph">
                  <wp:posOffset>14605</wp:posOffset>
                </wp:positionV>
                <wp:extent cx="6962140" cy="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5" o:spid="_x0000_s109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4pt,1.15pt" to="553.6pt,1.15pt" o:allowincell="f" strokecolor="#000000" strokeweight="0.48pt"/>
            </w:pict>
          </mc:Fallback>
        </mc:AlternateContent>
      </w:r>
    </w:p>
    <w:p>
      <w:pPr>
        <w:sectPr>
          <w:pgSz w:w="12240" w:h="15840" w:orient="portrait"/>
          <w:cols w:equalWidth="0" w:num="1">
            <w:col w:w="10920"/>
          </w:cols>
          <w:pgMar w:left="580" w:top="630" w:right="740" w:bottom="341" w:gutter="0" w:footer="0" w:header="0"/>
        </w:sectPr>
      </w:pPr>
    </w:p>
    <w:p>
      <w:pPr>
        <w:spacing w:after="0" w:line="19" w:lineRule="exact"/>
        <w:rPr>
          <w:rFonts w:ascii="Calibri" w:cs="Calibri" w:eastAsia="Calibri" w:hAnsi="Calibri"/>
          <w:sz w:val="13"/>
          <w:szCs w:val="13"/>
          <w:b w:val="1"/>
          <w:bCs w:val="1"/>
          <w:u w:val="single" w:color="auto"/>
          <w:color w:val="auto"/>
          <w:highlight w:val="lightGray"/>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1"/>
          <w:szCs w:val="21"/>
          <w:color w:val="auto"/>
        </w:rPr>
        <w:t xml:space="preserve">©2023 The Options Clearing Corporation.</w:t>
      </w:r>
      <w:r>
        <w:rPr xmlns:w="http://schemas.openxmlformats.org/wordprocessingml/2006/main">
          <w:rFonts w:ascii="Calibri" w:cs="Calibri" w:eastAsia="Calibri" w:hAnsi="Calibri"/>
          <w:sz w:val="21"/>
          <w:szCs w:val="21"/>
          <w:color w:val="auto"/>
        </w:rPr>
        <w:t xml:space="preserve"> Με επιφύλαξη κάθε νόμιμου δικαιώματος.</w:t>
      </w:r>
    </w:p>
    <w:sectPr>
      <w:pgSz w:w="12240" w:h="15840" w:orient="portrait"/>
      <w:cols w:equalWidth="0" w:num="1">
        <w:col w:w="10920"/>
      </w:cols>
      <w:pgMar w:left="580" w:top="630" w:right="740" w:bottom="341"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56F5BC9E"/>
    <w:multiLevelType w:val="hybridMultilevel"/>
    <w:lvl w:ilvl="0">
      <w:lvlJc w:val="left"/>
      <w:lvlText w:val="·"/>
      <w:numFmt w:val="bullet"/>
      <w:start w:val="1"/>
    </w:lvl>
  </w:abstractNum>
  <w:abstractNum w:abstractNumId="1">
    <w:nsid w:val="3B444600"/>
    <w:multiLevelType w:val="hybridMultilevel"/>
    <w:lvl w:ilvl="0">
      <w:lvlJc w:val="left"/>
      <w:lvlText w:val="·"/>
      <w:numFmt w:val="bullet"/>
      <w:start w:val="1"/>
    </w:lvl>
  </w:abstractNum>
  <w:abstractNum w:abstractNumId="2">
    <w:nsid w:val="3CD02FAE"/>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2024-05-20T14:26:09Z</dcterms:created>
  <dcterms:modified xsi:type="dcterms:W3CDTF">2024-05-20T14:26:09Z</dcterms:modified>
</cp:coreProperties>
</file>