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00"/>
          </w:cols>
          <w:pgMar w:left="980" w:top="518" w:right="102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SOLetc - ETC Group Physical Solana («</w:t>
      </w:r>
      <w:r>
        <w:rPr xmlns:w="http://schemas.openxmlformats.org/wordprocessingml/2006/main">
          <w:rFonts w:ascii="Calibri" w:cs="Calibri" w:eastAsia="Calibri" w:hAnsi="Calibri"/>
          <w:sz w:val="15"/>
          <w:szCs w:val="15"/>
          <w:b w:val="1"/>
          <w:bCs w:val="1"/>
          <w:color w:val="auto"/>
        </w:rPr>
        <w:t xml:space="preserve">ESOL</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DE000A3GVKZ1</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10/12/2021,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15/03/2023, 16:30 (έκδοση 25)</w:t>
      </w:r>
    </w:p>
    <w:p>
      <w:pPr>
        <w:spacing w:after="0" w:line="20" w:lineRule="exact"/>
        <w:rPr>
          <w:sz w:val="24"/>
          <w:szCs w:val="24"/>
          <w:color w:val="auto"/>
        </w:rPr>
      </w:pPr>
    </w:p>
    <w:p>
      <w:pPr>
        <w:sectPr>
          <w:pgSz w:w="11900" w:h="16838" w:orient="portrait"/>
          <w:cols w:equalWidth="0" w:num="2">
            <w:col w:w="2600" w:space="540"/>
            <w:col w:w="6760"/>
          </w:cols>
          <w:pgMar w:left="980" w:top="518" w:right="102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ESOL είναι ομόλογα του κομιστή σύμφωνα με το γερμανικό δίκαιο που εξασφαλίζονται από τον Σολάνα που κατατίθεται σε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Solana ("</w:t>
      </w:r>
      <w:r>
        <w:rPr xmlns:w="http://schemas.openxmlformats.org/wordprocessingml/2006/main">
          <w:rFonts w:ascii="Calibri" w:cs="Calibri" w:eastAsia="Calibri" w:hAnsi="Calibri"/>
          <w:sz w:val="15"/>
          <w:szCs w:val="15"/>
          <w:b w:val="1"/>
          <w:bCs w:val="1"/>
          <w:color w:val="auto"/>
        </w:rPr>
        <w:t xml:space="preserve">Solana"</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τους στρατηγικής μπορούν να αγοράσουν αυτό το προϊόν, η αξία του οποίου βασίζεται στην τιμή Solana,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σε Solana, σε άλλο κρυπτονόμισμα ή σε νόμισμα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Το Solana που λαμβάνεται από τον εκδότη ως αντάλλαγμα για την πώληση του προϊόντος σε Εξουσιοδοτημένους Συμμετέχοντες μεταβιβάζεται σε καθορισμένο λογαριασμό τίτλων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Solana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0,1 Solana και μειώνεται συνεχώς σε αξία κατά 1,95% ετησίως, υπολογιζόμενο σε ημερήσια βάση από το δικαίωμα Cryptocurrency </w:t>
      </w:r>
      <w:r>
        <w:rPr xmlns:w="http://schemas.openxmlformats.org/wordprocessingml/2006/main">
          <w:rFonts w:ascii="Calibri" w:cs="Calibri" w:eastAsia="Calibri" w:hAnsi="Calibri"/>
          <w:sz w:val="15"/>
          <w:szCs w:val="15"/>
          <w:color w:val="auto"/>
        </w:rPr>
        <w:t xml:space="preserve">κάθε μονάδας του προϊόντος σε ολόκληρη την περίοδο διακράτησης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0,00534247% κάθε μέρα (= 1/365 του 1,95%).</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Solana που κατέχονται για να υποστηρίξει την ESOL κατέχονται θεσμικά από BitGo Trust Company Inc, ένα ρυθμιζόμενο εξειδικευμένο αποθετήριο κρυπτονομισμάτων στη Νότια Ντακότα,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διαχειριστή ασφαλειών για να κατέχει τα δικαιώματα ασφάλειας για το Solana που έχει κατατεθεί στον θεματοφύλακα για λογαριασμό όλων των σημερινών και μελλοντικών κατόχων ESOL.</w:t>
      </w:r>
    </w:p>
    <w:p>
      <w:pPr>
        <w:spacing w:after="0" w:line="36"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πάντοτε στη Solana.</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σε Solana, ο επενδυτής μπορεί να ζητήσει την αποπληρωμή σε δολάρια ΗΠΑ (</w:t>
      </w:r>
      <w:r>
        <w:rPr xmlns:w="http://schemas.openxmlformats.org/wordprocessingml/2006/main">
          <w:rFonts w:ascii="Calibri" w:cs="Calibri" w:eastAsia="Calibri" w:hAnsi="Calibri"/>
          <w:sz w:val="15"/>
          <w:szCs w:val="15"/>
          <w:b w:val="1"/>
          <w:bCs w:val="1"/>
          <w:color w:val="auto"/>
        </w:rPr>
        <w:t xml:space="preserve">«USD»</w:t>
      </w:r>
      <w:r>
        <w:rPr xmlns:w="http://schemas.openxmlformats.org/wordprocessingml/2006/main">
          <w:rFonts w:ascii="Calibri" w:cs="Calibri" w:eastAsia="Calibri" w:hAnsi="Calibri"/>
          <w:sz w:val="15"/>
          <w:szCs w:val="15"/>
          <w:color w:val="auto"/>
        </w:rPr>
        <w:t xml:space="preserve">) ως εναλλακτική λύση για την αποπληρωμή σε Solana.</w:t>
      </w:r>
      <w:r>
        <w:rPr xmlns:w="http://schemas.openxmlformats.org/wordprocessingml/2006/main">
          <w:rFonts w:ascii="Calibri" w:cs="Calibri" w:eastAsia="Calibri" w:hAnsi="Calibri"/>
          <w:sz w:val="15"/>
          <w:szCs w:val="15"/>
          <w:color w:val="auto"/>
        </w:rPr>
        <w:t xml:space="preserve"> Στη συνέχεια, ο επενδυτής θα λάβει χρηματικό ποσό σε δολάρια ΗΠΑ ίσο με το ποσό που θα λάβει σε δημοπρασία για την εξασφάλιση Solana.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αναφέρουν επίσης ότι, αν συμβούν ορισμένα γεγονότα, ο εκδότης μπορεί να εξοφλήσει το προϊόν πρόωρα στη Solana ή, αν ένας επενδυτής εμποδίζεται να αποκτήσει τη Solana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28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Solana (CryptoCompare)</w:t>
            </w:r>
            <w:r>
              <w:rPr xmlns:w="http://schemas.openxmlformats.org/wordprocessingml/2006/main">
                <w:rFonts w:ascii="Calibri" w:cs="Calibri" w:eastAsia="Calibri" w:hAnsi="Calibri"/>
                <w:sz w:val="15"/>
                <w:szCs w:val="15"/>
                <w:color w:val="auto"/>
              </w:rPr>
              <w:t xml:space="preserve"> SOL CAGG)</w:t>
            </w:r>
          </w:p>
        </w:tc>
        <w:tc>
          <w:tcPr>
            <w:tcW w:w="1740" w:type="dxa"/>
            <w:vAlign w:val="bottom"/>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28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16.03.2023</w:t>
            </w:r>
          </w:p>
        </w:tc>
        <w:tc>
          <w:tcPr>
            <w:tcW w:w="1740" w:type="dxa"/>
            <w:vAlign w:val="bottom"/>
          </w:tcPr>
          <w:p>
            <w:pPr xmlns:w="http://schemas.openxmlformats.org/wordprocessingml/2006/main">
              <w:ind w:left="10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28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28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0,1 Solana, μειωμένο με την πάροδο του χρόνου κατά ένα τέλος</w:t>
            </w:r>
          </w:p>
        </w:tc>
        <w:tc>
          <w:tcPr>
            <w:tcW w:w="1740" w:type="dxa"/>
            <w:vAlign w:val="bottom"/>
          </w:tcPr>
          <w:p>
            <w:pPr xmlns:w="http://schemas.openxmlformats.org/wordprocessingml/2006/main">
              <w:ind w:left="10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28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1,95% ετησίως</w:t>
            </w:r>
          </w:p>
        </w:tc>
        <w:tc>
          <w:tcPr>
            <w:tcW w:w="174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280" w:type="dxa"/>
            <w:vAlign w:val="bottom"/>
          </w:tcPr>
          <w:p>
            <w:pPr>
              <w:spacing w:after="0"/>
              <w:rPr>
                <w:sz w:val="15"/>
                <w:szCs w:val="15"/>
                <w:color w:val="auto"/>
              </w:rPr>
            </w:pPr>
          </w:p>
        </w:tc>
        <w:tc>
          <w:tcPr>
            <w:tcW w:w="174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7" w:lineRule="exact"/>
        <w:rPr>
          <w:sz w:val="24"/>
          <w:szCs w:val="24"/>
          <w:color w:val="auto"/>
        </w:rPr>
      </w:pPr>
    </w:p>
    <w:p>
      <w:pPr xmlns:w="http://schemas.openxmlformats.org/wordprocessingml/2006/main">
        <w:ind w:left="1860" w:right="300" w:hanging="1793"/>
        <w:spacing w:after="0" w:line="225" w:lineRule="auto"/>
        <w:tabs>
          <w:tab w:leader="none" w:pos="184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ομολογιούχων</w:t>
        <w:tab xmlns:w="http://schemas.openxmlformats.org/wordprocessingml/2006/main"/>
      </w:r>
      <w:r>
        <w:rPr xmlns:w="http://schemas.openxmlformats.org/wordprocessingml/2006/main">
          <w:rFonts w:ascii="Calibri" w:cs="Calibri" w:eastAsia="Calibri" w:hAnsi="Calibri"/>
          <w:sz w:val="15"/>
          <w:szCs w:val="15"/>
          <w:color w:val="auto"/>
        </w:rPr>
        <w:t xml:space="preserve">Οι κάτοχοι της ESOL μπορούν να επιστρέψουν το προϊόν για τη Solana οποιαδήποτε στιγμή ή, αν μια πληρωμή στη Solana δεν είναι δυνατή λόγω των ισχυουσών κανονιστικών απαιτήσεων, την ισοδύναμη αξία σε δολάρια ΗΠΑ (το ακριβές ποσό καθορίζεται στις συνθήκες του προϊόντος).</w:t>
      </w:r>
    </w:p>
    <w:p>
      <w:pPr>
        <w:spacing w:after="0" w:line="2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jc w:val="both"/>
        <w:ind w:left="300" w:right="300"/>
        <w:spacing w:after="0" w:line="231" w:lineRule="auto"/>
        <w:rPr>
          <w:sz w:val="20"/>
          <w:szCs w:val="20"/>
          <w:color w:val="auto"/>
        </w:rPr>
      </w:pPr>
      <w:r>
        <w:rPr xmlns:w="http://schemas.openxmlformats.org/wordprocessingml/2006/main">
          <w:rFonts w:ascii="Calibri" w:cs="Calibri" w:eastAsia="Calibri" w:hAnsi="Calibri"/>
          <w:sz w:val="14"/>
          <w:szCs w:val="14"/>
          <w:color w:val="auto"/>
        </w:rPr>
        <w:t xml:space="preserve">διαθέτουν περιορισμένες τεχνικές δυνατότητες ή δεν διαθέτουν τη σχετική τεχνική εμπειρογνωμοσύνη και, ως εκ τούτου, αντί να επενδύουν απευθείας στη Solana με τη βοήθεια ομολόγων στον κομιστή με αξία που βασίζεται στην τιμή Solana, θα ήθελαν να επενδύσουν στη Solana χωρίς να χρειάζεται να κατέχουν οι ίδιοι τη Solana κατά τη διάρκεια ζωής του προϊόντος·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4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7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00"/>
          </w:cols>
          <w:pgMar w:left="980" w:top="518" w:right="10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00"/>
          </w:cols>
          <w:pgMar w:left="980" w:top="518" w:right="102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FFFFFF"/>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40"/>
          </w:cols>
          <w:pgMar w:left="980" w:top="518" w:right="1026" w:bottom="0" w:gutter="0" w:footer="0" w:header="0"/>
        </w:sectPr>
      </w:pPr>
    </w:p>
    <w:p>
      <w:pPr>
        <w:spacing w:after="0" w:line="377" w:lineRule="exact"/>
        <w:rPr>
          <w:sz w:val="20"/>
          <w:szCs w:val="20"/>
          <w:color w:val="auto"/>
        </w:rPr>
      </w:pPr>
    </w:p>
    <w:p>
      <w:pPr xmlns:w="http://schemas.openxmlformats.org/wordprocessingml/2006/main">
        <w:ind w:right="32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7 από 7 που είναι η υψηλότερη κατηγορία κινδύνου.</w:t>
      </w:r>
    </w:p>
    <w:p>
      <w:pPr>
        <w:spacing w:after="0" w:line="30" w:lineRule="exact"/>
        <w:rPr>
          <w:sz w:val="20"/>
          <w:szCs w:val="20"/>
          <w:color w:val="auto"/>
        </w:rPr>
      </w:pPr>
    </w:p>
    <w:p>
      <w:pPr xmlns:w="http://schemas.openxmlformats.org/wordprocessingml/2006/main">
        <w:ind w:right="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πολύ υψηλό επίπεδο, και οι κακές συνθήκες της αγοράς επηρεάζουν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σε Σολάνα είτε σε δολάρια ΗΠΑ.</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δομής του, το προϊόν αυτό υπόκειται σε άλλους κινδύνους, όπως διακυμάνσεις της αξίας και των συναλλαγματικών ισοτιμιών μεταξύ της ημερομηνίας </w:t>
      </w:r>
      <w:r>
        <w:rPr xmlns:w="http://schemas.openxmlformats.org/wordprocessingml/2006/main">
          <w:rFonts w:ascii="Calibri" w:cs="Calibri" w:eastAsia="Calibri" w:hAnsi="Calibri"/>
          <w:sz w:val="15"/>
          <w:szCs w:val="15"/>
          <w:color w:val="auto"/>
        </w:rPr>
        <w:t xml:space="preserve">εκτέλεσης και της ημερομηνίας παραλαβής του Solana, συν την απώλεια του Solana που κατέχεται ή παραδίδεται.</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900"/>
          </w:cols>
          <w:pgMar w:left="980" w:top="518" w:right="102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180"/>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5"/>
          <w:szCs w:val="15"/>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5"/>
          <w:szCs w:val="15"/>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5"/>
          <w:szCs w:val="15"/>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και ένα κατάλληλο σημείο αναφοράς κατά τα τελευταία 10 χρόνια.</w:t>
      </w:r>
      <w:r>
        <w:rPr xmlns:w="http://schemas.openxmlformats.org/wordprocessingml/2006/main">
          <w:rFonts w:ascii="Calibri" w:cs="Calibri" w:eastAsia="Calibri" w:hAnsi="Calibri"/>
          <w:sz w:val="15"/>
          <w:szCs w:val="15"/>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86995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90" w:lineRule="exact"/>
        <w:rPr>
          <w:sz w:val="20"/>
          <w:szCs w:val="20"/>
          <w:color w:val="auto"/>
        </w:rPr>
      </w:pPr>
    </w:p>
    <w:p>
      <w:pPr>
        <w:sectPr>
          <w:pgSz w:w="11900" w:h="16838" w:orient="portrait"/>
          <w:cols w:equalWidth="0" w:num="2">
            <w:col w:w="1980" w:space="600"/>
            <w:col w:w="7320"/>
          </w:cols>
          <w:pgMar w:left="980" w:top="518" w:right="102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USD 0</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-100,0 %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10"/>
              <w:spacing w:after="0"/>
              <w:rPr>
                <w:sz w:val="20"/>
                <w:szCs w:val="20"/>
                <w:color w:val="auto"/>
              </w:rPr>
            </w:pPr>
            <w:r>
              <w:rPr xmlns:w="http://schemas.openxmlformats.org/wordprocessingml/2006/main">
                <w:rFonts w:ascii="Calibri" w:cs="Calibri" w:eastAsia="Calibri" w:hAnsi="Calibri"/>
                <w:sz w:val="14"/>
                <w:szCs w:val="14"/>
                <w:b w:val="1"/>
                <w:bCs w:val="1"/>
                <w:color w:val="9E615A"/>
                <w:w w:val="97"/>
              </w:rPr>
              <w:t xml:space="preserve">362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-96,4 %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58.506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w w:val="97"/>
              </w:rPr>
              <w:t xml:space="preserve">577.800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485,1 %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6"/>
              </w:rPr>
              <w:t xml:space="preserve">125,1 %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101.796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382.605.987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918,0 %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725,2 %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20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Νοεμβρίου 2021 και Μαρτίου 2023.</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Ιουνίου 2013 και Ιουνίου 2018.</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Νοεμβρίου 2016 και Νοεμβρίου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ESOL είναι ένα προϊόν που είναι εξασφαλισμένο με τη Solana, ο επενδυτής φέρει τον κίνδυνο ότι ο εκδότης μπορεί να μην είναι σε θέση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μόνο στο Solana που έχει κατατεθεί για να αντισταθμίσει την ESOL ως μέσο ικανοποίησης όλων των απαιτήσεων έκδοσης ή πληρωμής που σχετίζονται με το προϊόν.</w:t>
      </w:r>
      <w:r>
        <w:rPr xmlns:w="http://schemas.openxmlformats.org/wordprocessingml/2006/main">
          <w:rFonts w:ascii="Calibri" w:cs="Calibri" w:eastAsia="Calibri" w:hAnsi="Calibri"/>
          <w:sz w:val="15"/>
          <w:szCs w:val="15"/>
          <w:color w:val="auto"/>
        </w:rPr>
        <w:t xml:space="preserve"> Το προϊόν αυτό σας παρέχει το δικαίωμα στον κατατεθέντα Σολάνα ή στα δικαιώματα ασφαλείας που κατέχει ο Ασφαλειοδότης μέσω του λογαριασμού θεματοφυλακής και μέσω του λογαριασμού τίτλων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σε σχέση με αυτά τα Solana και οι απαιτήσεις στα δικαιώματα ασφάλειας μπορεί να επηρεάσει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Αν και ο Εκδότης αναλαμβάνει να καταθέσει επαρκή ποσότητα Solana στην BitGo Trust Company για να καλύψει όλες τις απαιτήσεις της ESOL, υπάρχει κίνδυνος η Solana που έχει καταθέσει ο Εκδότης για να αντισταθμίσει την ESOL να μην είναι επαρκής για να ικανοποιήσει το αίτημα εξαργύρωσης ή πληρωμής σας.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900"/>
          </w:cols>
          <w:pgMar w:left="98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900"/>
          </w:cols>
          <w:pgMar w:left="980" w:top="518" w:right="102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USD 10000 επενδύεται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w w:val="98"/>
              </w:rPr>
              <w:t xml:space="preserve">67.086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304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5,3%</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3,1%</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130,4% πριν από το κόστος και 125,1%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65</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34</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1,95%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205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4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καθώς η Solana είναι πολύ ευμετάβλητη, οι επενδυτές θα πρέπει να παρακολουθούν συνεχώς την αξία του προϊόντος, καθώς αιφνίδιες μεταβολές της αξίας μπορούν να σημειωθούν συχνά και απότομα.</w:t>
      </w:r>
    </w:p>
    <w:p>
      <w:pPr>
        <w:spacing w:after="0" w:line="32" w:lineRule="exact"/>
        <w:rPr>
          <w:sz w:val="20"/>
          <w:szCs w:val="20"/>
          <w:color w:val="auto"/>
        </w:rPr>
      </w:pPr>
    </w:p>
    <w:p>
      <w:pPr xmlns:w="http://schemas.openxmlformats.org/wordprocessingml/2006/main">
        <w:ind w:left="40" w:right="14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0,09749086 Σολάνα λιγότερο 1,95% ετησίως.</w:t>
      </w:r>
      <w:r>
        <w:rPr xmlns:w="http://schemas.openxmlformats.org/wordprocessingml/2006/main">
          <w:rFonts w:ascii="Calibri" w:cs="Calibri" w:eastAsia="Calibri" w:hAnsi="Calibri"/>
          <w:sz w:val="15"/>
          <w:szCs w:val="15"/>
          <w:color w:val="auto"/>
        </w:rPr>
        <w:t xml:space="preserve"> έξοδα διαχείρισης, μείον τα τέλη αποπληρωμής (υπολογιζόμενα από την ημερομηνία έκδοσης της ESOL), όπως περιγράφεται ανωτέρω στην ενότητα «Τι είδους προϊόν είναι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4B273D73"/>
    <w:multiLevelType w:val="hybridMultilevel"/>
    <w:lvl w:ilvl="0">
      <w:lvlJc w:val="left"/>
      <w:lvlText w:val="*"/>
      <w:numFmt w:val="bullet"/>
      <w:start w:val="1"/>
    </w:lvl>
  </w:abstractNum>
  <w:abstractNum w:abstractNumId="1">
    <w:nsid w:val="FE5DADB"/>
    <w:multiLevelType w:val="hybridMultilevel"/>
    <w:lvl w:ilvl="0">
      <w:lvlJc w:val="left"/>
      <w:lvlText w:val="*"/>
      <w:numFmt w:val="bullet"/>
      <w:start w:val="1"/>
    </w:lvl>
  </w:abstractNum>
  <w:abstractNum w:abstractNumId="2">
    <w:nsid w:val="2F25236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2024-05-20T11:10:14Z</dcterms:created>
  <dcterms:modified xsi:type="dcterms:W3CDTF">2024-05-20T11:10:14Z</dcterms:modified>
</cp:coreProperties>
</file>